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9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7828"/>
      </w:tblGrid>
      <w:tr w:rsidR="00211E09" w:rsidRPr="00136184" w:rsidTr="00BE5D4D">
        <w:trPr>
          <w:trHeight w:val="333"/>
          <w:jc w:val="center"/>
        </w:trPr>
        <w:tc>
          <w:tcPr>
            <w:tcW w:w="9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A608A0" w:rsidRDefault="00846724" w:rsidP="009424B6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</w:rPr>
              <w:t>Ergot</w:t>
            </w:r>
            <w:r w:rsidR="00446EB5" w:rsidRPr="00446EB5">
              <w:rPr>
                <w:rFonts w:ascii="標楷體" w:eastAsia="標楷體" w:hAnsi="標楷體" w:cs="Times New Roman" w:hint="eastAsia"/>
                <w:sz w:val="36"/>
                <w:szCs w:val="36"/>
              </w:rPr>
              <w:t>衍生物</w:t>
            </w:r>
            <w:r w:rsidR="003E1F47" w:rsidRPr="003E1F47">
              <w:rPr>
                <w:rFonts w:ascii="標楷體" w:eastAsia="標楷體" w:hAnsi="標楷體" w:cs="Times New Roman" w:hint="eastAsia"/>
                <w:sz w:val="36"/>
                <w:szCs w:val="36"/>
              </w:rPr>
              <w:t>相關</w:t>
            </w:r>
            <w:r w:rsidR="00B32C39" w:rsidRPr="00285934">
              <w:rPr>
                <w:rFonts w:ascii="Times New Roman" w:eastAsia="標楷體" w:hAnsi="標楷體" w:cs="Times New Roman"/>
                <w:sz w:val="36"/>
                <w:szCs w:val="36"/>
              </w:rPr>
              <w:t>成分</w:t>
            </w:r>
            <w:r w:rsidR="00B32C39" w:rsidRPr="00A608A0">
              <w:rPr>
                <w:rFonts w:ascii="標楷體" w:eastAsia="標楷體" w:hAnsi="標楷體" w:cs="Times New Roman"/>
                <w:sz w:val="36"/>
                <w:szCs w:val="36"/>
              </w:rPr>
              <w:t>藥品安全資訊風險溝通表</w:t>
            </w:r>
          </w:p>
        </w:tc>
      </w:tr>
      <w:tr w:rsidR="00211E09" w:rsidRPr="00136184" w:rsidTr="00BE5D4D">
        <w:trPr>
          <w:trHeight w:val="333"/>
          <w:jc w:val="center"/>
        </w:trPr>
        <w:tc>
          <w:tcPr>
            <w:tcW w:w="96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D61A54" w:rsidRDefault="00211E09" w:rsidP="009424B6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211E09" w:rsidRPr="00136184" w:rsidTr="009828E9">
        <w:trPr>
          <w:trHeight w:val="333"/>
          <w:jc w:val="center"/>
        </w:trPr>
        <w:tc>
          <w:tcPr>
            <w:tcW w:w="1791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828" w:type="dxa"/>
          </w:tcPr>
          <w:p w:rsidR="00211E09" w:rsidRPr="00846724" w:rsidRDefault="00846724" w:rsidP="00FE5CB0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846724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Ergot derivatives</w:t>
            </w:r>
            <w:r w:rsidR="000327A8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 xml:space="preserve"> (</w:t>
            </w:r>
            <w:proofErr w:type="spellStart"/>
            <w:r w:rsidR="00FE5CB0" w:rsidRPr="00FE5CB0">
              <w:rPr>
                <w:rFonts w:ascii="Times New Roman" w:hAnsi="Times New Roman" w:cs="Times New Roman"/>
                <w:b w:val="0"/>
                <w:sz w:val="24"/>
                <w:szCs w:val="24"/>
              </w:rPr>
              <w:t>dihydroergocristine</w:t>
            </w:r>
            <w:proofErr w:type="spellEnd"/>
            <w:r w:rsidR="00FE5CB0" w:rsidRPr="00FE5C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FE5CB0" w:rsidRPr="00FE5CB0">
              <w:rPr>
                <w:rFonts w:ascii="Times New Roman" w:hAnsi="Times New Roman" w:cs="Times New Roman"/>
                <w:b w:val="0"/>
                <w:sz w:val="24"/>
                <w:szCs w:val="24"/>
              </w:rPr>
              <w:t>dihydroergotamine</w:t>
            </w:r>
            <w:proofErr w:type="spellEnd"/>
            <w:r w:rsidR="00FE5CB0" w:rsidRPr="00FE5CB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E5C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FE5CB0">
              <w:rPr>
                <w:rFonts w:ascii="Times New Roman" w:hAnsi="Times New Roman" w:cs="Times New Roman"/>
                <w:b w:val="0"/>
                <w:sz w:val="24"/>
                <w:szCs w:val="24"/>
              </w:rPr>
              <w:t>dihydroergotoxine</w:t>
            </w:r>
            <w:proofErr w:type="spellEnd"/>
            <w:r w:rsidR="00FE5C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FE5CB0">
              <w:rPr>
                <w:rFonts w:ascii="Times New Roman" w:hAnsi="Times New Roman" w:cs="Times New Roman"/>
                <w:b w:val="0"/>
                <w:sz w:val="24"/>
                <w:szCs w:val="24"/>
              </w:rPr>
              <w:t>nicergoline</w:t>
            </w:r>
            <w:proofErr w:type="spellEnd"/>
            <w:r w:rsidR="00FE5CB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 xml:space="preserve">, </w:t>
            </w:r>
            <w:r w:rsidR="00B33A2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 xml:space="preserve">a combination of </w:t>
            </w:r>
            <w:proofErr w:type="spellStart"/>
            <w:r w:rsidR="00FE5CB0" w:rsidRPr="00FE5CB0">
              <w:rPr>
                <w:rFonts w:ascii="Times New Roman" w:hAnsi="Times New Roman" w:cs="Times New Roman"/>
                <w:b w:val="0"/>
                <w:sz w:val="24"/>
                <w:szCs w:val="24"/>
              </w:rPr>
              <w:t>dihydroergocryptine</w:t>
            </w:r>
            <w:proofErr w:type="spellEnd"/>
            <w:r w:rsidR="00B33A2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 xml:space="preserve"> with caffeine</w:t>
            </w:r>
            <w:r w:rsidR="000327A8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)</w:t>
            </w:r>
          </w:p>
        </w:tc>
      </w:tr>
      <w:tr w:rsidR="00211E09" w:rsidRPr="00136184" w:rsidTr="009828E9">
        <w:trPr>
          <w:trHeight w:val="333"/>
          <w:jc w:val="center"/>
        </w:trPr>
        <w:tc>
          <w:tcPr>
            <w:tcW w:w="1791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828" w:type="dxa"/>
          </w:tcPr>
          <w:p w:rsidR="00211E09" w:rsidRPr="00B82B7C" w:rsidRDefault="00211E09" w:rsidP="001D6C93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82B7C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衛生署</w:t>
            </w:r>
            <w:proofErr w:type="gramStart"/>
            <w:r w:rsidRPr="00B82B7C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核准含</w:t>
            </w:r>
            <w:r w:rsidR="006D4EE6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本次</w:t>
            </w:r>
            <w:proofErr w:type="gramEnd"/>
            <w:r w:rsidR="006D4EE6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警訊之</w:t>
            </w:r>
            <w:r w:rsidR="003E1F47" w:rsidRPr="00B82B7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ergot</w:t>
            </w:r>
            <w:r w:rsidR="00555A2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衍生物</w:t>
            </w:r>
            <w:r w:rsidR="003E1F47" w:rsidRPr="00B82B7C">
              <w:rPr>
                <w:rFonts w:ascii="Times New Roman" w:eastAsia="標楷體" w:hAnsi="標楷體" w:cs="Times New Roman"/>
                <w:b w:val="0"/>
                <w:sz w:val="24"/>
                <w:szCs w:val="24"/>
              </w:rPr>
              <w:t>相關</w:t>
            </w:r>
            <w:r w:rsidR="003E1F47" w:rsidRPr="00B82B7C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成分藥品製劑許可證共</w:t>
            </w:r>
            <w:r w:rsidR="006D4EE6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50</w:t>
            </w:r>
            <w:r w:rsidR="003E1F47" w:rsidRPr="00B82B7C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張</w:t>
            </w:r>
            <w:r w:rsidR="00C1455D" w:rsidRPr="00B82B7C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。</w:t>
            </w:r>
            <w:r w:rsidRPr="00B82B7C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網址：</w:t>
            </w:r>
          </w:p>
          <w:p w:rsidR="00211E09" w:rsidRPr="00C1455D" w:rsidRDefault="00C1455D" w:rsidP="00C1455D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82B7C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  <w:t>http://www.fda.gov.tw/MLMS/(</w:t>
            </w:r>
            <w:proofErr w:type="gramStart"/>
            <w:r w:rsidRPr="00B82B7C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  <w:t>S(</w:t>
            </w:r>
            <w:proofErr w:type="gramEnd"/>
            <w:r w:rsidRPr="00B82B7C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  <w:t>bsoxis55t35mck45wlhfmjru))/H0001.aspx</w:t>
            </w:r>
          </w:p>
        </w:tc>
      </w:tr>
      <w:tr w:rsidR="00211E09" w:rsidRPr="00136184" w:rsidTr="009828E9">
        <w:trPr>
          <w:trHeight w:val="333"/>
          <w:jc w:val="center"/>
        </w:trPr>
        <w:tc>
          <w:tcPr>
            <w:tcW w:w="1791" w:type="dxa"/>
            <w:vAlign w:val="center"/>
          </w:tcPr>
          <w:p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828" w:type="dxa"/>
          </w:tcPr>
          <w:p w:rsidR="00320BE2" w:rsidRPr="0033490E" w:rsidRDefault="006D4EE6" w:rsidP="0033490E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詳如後</w:t>
            </w:r>
            <w:proofErr w:type="gramStart"/>
            <w:r>
              <w:rPr>
                <w:rFonts w:ascii="Times New Roman" w:eastAsia="標楷體" w:hAnsi="標楷體" w:hint="eastAsia"/>
              </w:rPr>
              <w:t>附</w:t>
            </w:r>
            <w:proofErr w:type="gramEnd"/>
            <w:r>
              <w:rPr>
                <w:rFonts w:ascii="Times New Roman" w:eastAsia="標楷體" w:hAnsi="標楷體" w:hint="eastAsia"/>
              </w:rPr>
              <w:t>。</w:t>
            </w:r>
          </w:p>
        </w:tc>
      </w:tr>
      <w:tr w:rsidR="00211E09" w:rsidRPr="00136184" w:rsidTr="009828E9">
        <w:trPr>
          <w:jc w:val="center"/>
        </w:trPr>
        <w:tc>
          <w:tcPr>
            <w:tcW w:w="1791" w:type="dxa"/>
            <w:vAlign w:val="center"/>
          </w:tcPr>
          <w:p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828" w:type="dxa"/>
          </w:tcPr>
          <w:p w:rsidR="00211E09" w:rsidRPr="007234B7" w:rsidRDefault="00FF2772" w:rsidP="0009377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可選擇性</w:t>
            </w:r>
            <w:r w:rsidR="003A223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持續調節血管張力，具腎上腺素型交感神經阻斷作用。</w:t>
            </w:r>
          </w:p>
        </w:tc>
      </w:tr>
      <w:tr w:rsidR="00211E09" w:rsidRPr="00136184" w:rsidTr="009828E9">
        <w:trPr>
          <w:jc w:val="center"/>
        </w:trPr>
        <w:tc>
          <w:tcPr>
            <w:tcW w:w="1791" w:type="dxa"/>
            <w:vAlign w:val="center"/>
          </w:tcPr>
          <w:p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828" w:type="dxa"/>
          </w:tcPr>
          <w:p w:rsidR="00211E09" w:rsidRPr="00C859E3" w:rsidRDefault="00F37403" w:rsidP="008C4452">
            <w:pPr>
              <w:ind w:left="17" w:firstLineChars="7" w:firstLine="17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2013/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="00211E09" w:rsidRPr="00C859E3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28</w:t>
            </w:r>
            <w:r w:rsidR="00BE5D4D" w:rsidRPr="00AE5B18">
              <w:rPr>
                <w:rFonts w:ascii="Times New Roman" w:eastAsia="標楷體" w:hAnsi="Times New Roman" w:hint="eastAsia"/>
                <w:szCs w:val="24"/>
              </w:rPr>
              <w:t>歐洲藥</w:t>
            </w:r>
            <w:r w:rsidR="00C62945">
              <w:rPr>
                <w:rFonts w:ascii="Times New Roman" w:eastAsia="標楷體" w:hAnsi="Times New Roman" w:hint="eastAsia"/>
                <w:szCs w:val="24"/>
              </w:rPr>
              <w:t>品</w:t>
            </w:r>
            <w:r w:rsidR="00BE5D4D" w:rsidRPr="00AE5B18">
              <w:rPr>
                <w:rFonts w:ascii="Times New Roman" w:eastAsia="標楷體" w:hAnsi="Times New Roman" w:hint="eastAsia"/>
                <w:szCs w:val="24"/>
              </w:rPr>
              <w:t>管理局</w:t>
            </w:r>
            <w:r w:rsidR="00BE5D4D" w:rsidRPr="00AE5B18">
              <w:rPr>
                <w:rFonts w:ascii="Times New Roman" w:eastAsia="標楷體" w:hAnsi="標楷體" w:hint="eastAsia"/>
                <w:szCs w:val="24"/>
              </w:rPr>
              <w:t>(</w:t>
            </w:r>
            <w:r w:rsidR="00BE5D4D" w:rsidRPr="00AE5B18">
              <w:rPr>
                <w:rFonts w:ascii="Times New Roman" w:eastAsia="標楷體" w:hAnsi="Times New Roman" w:hint="eastAsia"/>
                <w:szCs w:val="24"/>
              </w:rPr>
              <w:t>EMA)</w:t>
            </w:r>
            <w:r w:rsidR="00B901E8">
              <w:rPr>
                <w:rFonts w:ascii="Times New Roman" w:eastAsia="標楷體" w:hAnsi="Times New Roman" w:hint="eastAsia"/>
                <w:szCs w:val="24"/>
              </w:rPr>
              <w:t>之人用</w:t>
            </w:r>
            <w:r w:rsidR="00C62945">
              <w:rPr>
                <w:rFonts w:ascii="Times New Roman" w:eastAsia="標楷體" w:hAnsi="Times New Roman" w:hint="eastAsia"/>
                <w:szCs w:val="24"/>
              </w:rPr>
              <w:t>醫</w:t>
            </w:r>
            <w:r w:rsidR="00B901E8">
              <w:rPr>
                <w:rFonts w:ascii="Times New Roman" w:eastAsia="標楷體" w:hAnsi="Times New Roman" w:hint="eastAsia"/>
                <w:szCs w:val="24"/>
              </w:rPr>
              <w:t>藥品委員會</w:t>
            </w:r>
            <w:r w:rsidR="00B901E8">
              <w:rPr>
                <w:rFonts w:ascii="Times New Roman" w:eastAsia="標楷體" w:hAnsi="Times New Roman" w:hint="eastAsia"/>
                <w:szCs w:val="24"/>
              </w:rPr>
              <w:t>(CHMP)</w:t>
            </w:r>
            <w:r w:rsidR="00B901E8">
              <w:rPr>
                <w:rFonts w:ascii="Times New Roman" w:eastAsia="標楷體" w:hAnsi="Times New Roman" w:hint="eastAsia"/>
                <w:szCs w:val="24"/>
              </w:rPr>
              <w:t>建議</w:t>
            </w:r>
            <w:proofErr w:type="gramStart"/>
            <w:r w:rsidR="006C1D0D">
              <w:rPr>
                <w:rFonts w:ascii="Times New Roman" w:eastAsia="標楷體" w:hAnsi="Times New Roman" w:hint="eastAsia"/>
                <w:szCs w:val="24"/>
              </w:rPr>
              <w:t>限縮</w:t>
            </w:r>
            <w:r w:rsidR="00B901E8">
              <w:rPr>
                <w:rFonts w:ascii="Times New Roman" w:eastAsia="標楷體" w:hAnsi="Times New Roman" w:hint="eastAsia"/>
                <w:szCs w:val="24"/>
              </w:rPr>
              <w:t>含</w:t>
            </w:r>
            <w:proofErr w:type="gramEnd"/>
            <w:r w:rsidR="00B901E8">
              <w:rPr>
                <w:rFonts w:ascii="Times New Roman" w:eastAsia="標楷體" w:hAnsi="Times New Roman" w:hint="eastAsia"/>
                <w:szCs w:val="24"/>
              </w:rPr>
              <w:t>ergot</w:t>
            </w:r>
            <w:r w:rsidR="00C62945">
              <w:rPr>
                <w:rFonts w:ascii="Times New Roman" w:eastAsia="標楷體" w:hAnsi="Times New Roman" w:hint="eastAsia"/>
                <w:szCs w:val="24"/>
              </w:rPr>
              <w:t>衍生物</w:t>
            </w:r>
            <w:r w:rsidR="00B901E8">
              <w:rPr>
                <w:rFonts w:ascii="Times New Roman" w:eastAsia="標楷體" w:hAnsi="Times New Roman" w:hint="eastAsia"/>
                <w:szCs w:val="24"/>
              </w:rPr>
              <w:t>相關成分藥品</w:t>
            </w:r>
            <w:r w:rsidR="008C4452"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B901E8">
              <w:rPr>
                <w:rFonts w:ascii="Times New Roman" w:eastAsia="標楷體" w:hAnsi="Times New Roman" w:hint="eastAsia"/>
                <w:szCs w:val="24"/>
              </w:rPr>
              <w:t>使用</w:t>
            </w:r>
            <w:r w:rsidR="008C4452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C4452">
              <w:rPr>
                <w:rFonts w:ascii="Times New Roman" w:eastAsia="標楷體" w:hAnsi="Times New Roman" w:hint="eastAsia"/>
                <w:szCs w:val="24"/>
              </w:rPr>
              <w:t>詳如下欄</w:t>
            </w:r>
            <w:r w:rsidR="008C4452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8C4452">
              <w:rPr>
                <w:rFonts w:ascii="Times New Roman" w:eastAsia="標楷體" w:hAnsi="Times New Roman" w:hint="eastAsia"/>
                <w:szCs w:val="24"/>
              </w:rPr>
              <w:t>，因該類藥品提高纖維化及麥角中毒之風險</w:t>
            </w:r>
            <w:r w:rsidR="00B901E8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211E09" w:rsidRPr="00136184" w:rsidTr="009828E9">
        <w:trPr>
          <w:jc w:val="center"/>
        </w:trPr>
        <w:tc>
          <w:tcPr>
            <w:tcW w:w="1791" w:type="dxa"/>
            <w:vAlign w:val="center"/>
          </w:tcPr>
          <w:p w:rsidR="00211E09" w:rsidRPr="00B57AEE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828" w:type="dxa"/>
          </w:tcPr>
          <w:p w:rsidR="007C3CE2" w:rsidRPr="007C3CE2" w:rsidRDefault="00B901E8" w:rsidP="007C3CE2">
            <w:pPr>
              <w:pStyle w:val="a9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CHMP</w:t>
            </w:r>
            <w:r>
              <w:rPr>
                <w:rFonts w:ascii="Times New Roman" w:eastAsia="標楷體" w:hAnsi="Times New Roman" w:hint="eastAsia"/>
              </w:rPr>
              <w:t>建</w:t>
            </w:r>
            <w:r w:rsidR="00394028">
              <w:rPr>
                <w:rFonts w:ascii="Times New Roman" w:eastAsia="標楷體" w:hAnsi="Times New Roman" w:hint="eastAsia"/>
              </w:rPr>
              <w:t>議含</w:t>
            </w:r>
            <w:r w:rsidR="00394028" w:rsidRPr="00B82B7C">
              <w:rPr>
                <w:rFonts w:ascii="Times New Roman" w:eastAsia="標楷體" w:hAnsi="Times New Roman"/>
                <w:szCs w:val="24"/>
              </w:rPr>
              <w:t>ergot</w:t>
            </w:r>
            <w:r w:rsidR="00C62945">
              <w:rPr>
                <w:rFonts w:ascii="Times New Roman" w:eastAsia="標楷體" w:hAnsi="Times New Roman" w:hint="eastAsia"/>
                <w:szCs w:val="24"/>
              </w:rPr>
              <w:t>衍生物</w:t>
            </w:r>
            <w:r w:rsidR="00394028" w:rsidRPr="00B82B7C">
              <w:rPr>
                <w:rFonts w:ascii="Times New Roman" w:eastAsia="標楷體" w:hAnsi="標楷體"/>
                <w:color w:val="000000"/>
                <w:szCs w:val="24"/>
              </w:rPr>
              <w:t>成分藥品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包括</w:t>
            </w:r>
            <w:proofErr w:type="spellStart"/>
            <w:r w:rsidR="007C3CE2" w:rsidRPr="00FE5CB0">
              <w:rPr>
                <w:rFonts w:ascii="Times New Roman" w:hAnsi="Times New Roman"/>
                <w:szCs w:val="24"/>
              </w:rPr>
              <w:t>dihydroergocristine</w:t>
            </w:r>
            <w:proofErr w:type="spellEnd"/>
            <w:r w:rsidR="007C3CE2" w:rsidRPr="00FE5CB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7C3CE2" w:rsidRPr="00FE5CB0">
              <w:rPr>
                <w:rFonts w:ascii="Times New Roman" w:hAnsi="Times New Roman"/>
                <w:szCs w:val="24"/>
              </w:rPr>
              <w:t>dihydroergotamine</w:t>
            </w:r>
            <w:proofErr w:type="spellEnd"/>
            <w:r w:rsidR="007C3CE2" w:rsidRPr="00FE5CB0">
              <w:rPr>
                <w:rFonts w:ascii="Times New Roman" w:hAnsi="Times New Roman"/>
                <w:szCs w:val="24"/>
              </w:rPr>
              <w:t>,</w:t>
            </w:r>
            <w:r w:rsidR="007C3CE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C3CE2">
              <w:rPr>
                <w:rFonts w:ascii="Times New Roman" w:hAnsi="Times New Roman"/>
                <w:szCs w:val="24"/>
              </w:rPr>
              <w:t>dihydroergotoxine</w:t>
            </w:r>
            <w:proofErr w:type="spellEnd"/>
            <w:r w:rsidR="007C3CE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7C3CE2">
              <w:rPr>
                <w:rFonts w:ascii="Times New Roman" w:hAnsi="Times New Roman"/>
                <w:szCs w:val="24"/>
              </w:rPr>
              <w:t>nicergoline</w:t>
            </w:r>
            <w:proofErr w:type="spellEnd"/>
            <w:r w:rsidR="007C3CE2">
              <w:rPr>
                <w:rFonts w:ascii="Times New Roman" w:hAnsi="Times New Roman" w:hint="eastAsia"/>
                <w:szCs w:val="24"/>
              </w:rPr>
              <w:t xml:space="preserve">, a combination of </w:t>
            </w:r>
            <w:proofErr w:type="spellStart"/>
            <w:r w:rsidR="007C3CE2" w:rsidRPr="00FE5CB0">
              <w:rPr>
                <w:rFonts w:ascii="Times New Roman" w:hAnsi="Times New Roman"/>
                <w:szCs w:val="24"/>
              </w:rPr>
              <w:t>dihydroergocryptine</w:t>
            </w:r>
            <w:proofErr w:type="spellEnd"/>
            <w:r w:rsidR="007C3CE2">
              <w:rPr>
                <w:rFonts w:ascii="Times New Roman" w:hAnsi="Times New Roman" w:hint="eastAsia"/>
                <w:szCs w:val="24"/>
              </w:rPr>
              <w:t xml:space="preserve"> with caffeine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，因其會提高纖維化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形成過多的結締組織，可能會損害器官及身體結構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和麥角中毒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症狀包括痙攣、血液循環受阻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="007C3CE2">
              <w:rPr>
                <w:rFonts w:ascii="Times New Roman" w:eastAsia="標楷體" w:hAnsi="標楷體" w:hint="eastAsia"/>
                <w:color w:val="000000"/>
                <w:szCs w:val="24"/>
              </w:rPr>
              <w:t>的風險，如用於血液循環、記憶與感覺相關問題或預防偏頭痛之情況下，其風險高於效益，不應繼續使用。</w:t>
            </w:r>
          </w:p>
          <w:p w:rsidR="008C4452" w:rsidRPr="007C3CE2" w:rsidRDefault="008C4452" w:rsidP="007C3CE2">
            <w:pPr>
              <w:pStyle w:val="a9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C3CE2">
              <w:rPr>
                <w:rFonts w:ascii="Times New Roman" w:eastAsia="標楷體" w:hAnsi="Times New Roman" w:hint="eastAsia"/>
                <w:color w:val="000000"/>
                <w:szCs w:val="24"/>
              </w:rPr>
              <w:t>醫療人員應停止處方</w:t>
            </w:r>
            <w:r w:rsidRPr="007C3CE2">
              <w:rPr>
                <w:rFonts w:ascii="Times New Roman" w:eastAsia="標楷體" w:hAnsi="Times New Roman"/>
                <w:color w:val="000000"/>
                <w:szCs w:val="24"/>
              </w:rPr>
              <w:t>含</w:t>
            </w:r>
            <w:r w:rsidRPr="007C3CE2">
              <w:rPr>
                <w:rFonts w:ascii="Times New Roman" w:eastAsia="標楷體" w:hAnsi="Times New Roman"/>
                <w:szCs w:val="24"/>
              </w:rPr>
              <w:t>ergot</w:t>
            </w:r>
            <w:r w:rsidRPr="007C3CE2">
              <w:rPr>
                <w:rFonts w:ascii="Times New Roman" w:eastAsia="標楷體" w:hAnsi="Times New Roman" w:hint="eastAsia"/>
                <w:szCs w:val="24"/>
              </w:rPr>
              <w:t>衍生物</w:t>
            </w:r>
            <w:r w:rsidRPr="007C3CE2">
              <w:rPr>
                <w:rFonts w:ascii="Times New Roman" w:eastAsia="標楷體" w:hAnsi="標楷體"/>
                <w:szCs w:val="24"/>
              </w:rPr>
              <w:t>相關</w:t>
            </w:r>
            <w:r w:rsidRPr="007C3CE2">
              <w:rPr>
                <w:rFonts w:ascii="Times New Roman" w:eastAsia="標楷體" w:hAnsi="標楷體"/>
                <w:color w:val="000000"/>
                <w:szCs w:val="24"/>
              </w:rPr>
              <w:t>成分</w:t>
            </w:r>
            <w:r w:rsidRPr="007C3CE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藥品</w:t>
            </w:r>
            <w:r w:rsidRPr="007C3CE2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用</w:t>
            </w:r>
            <w:r w:rsidRPr="007C3CE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於下列適應症</w:t>
            </w:r>
            <w:r w:rsidRPr="007C3C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</w:t>
            </w:r>
          </w:p>
          <w:p w:rsidR="008C4452" w:rsidRPr="000B5B65" w:rsidRDefault="008C4452" w:rsidP="008C4452">
            <w:pPr>
              <w:pStyle w:val="a9"/>
              <w:numPr>
                <w:ilvl w:val="0"/>
                <w:numId w:val="28"/>
              </w:numPr>
              <w:ind w:leftChars="0" w:left="1435" w:hanging="567"/>
              <w:jc w:val="both"/>
              <w:rPr>
                <w:rFonts w:ascii="Times New Roman" w:eastAsia="標楷體" w:hAnsi="Times New Roman"/>
              </w:rPr>
            </w:pPr>
            <w:r w:rsidRPr="000B5B65">
              <w:rPr>
                <w:rFonts w:ascii="Times New Roman" w:eastAsia="標楷體" w:hAnsi="Times New Roman"/>
              </w:rPr>
              <w:t>老年人</w:t>
            </w:r>
            <w:r>
              <w:rPr>
                <w:rFonts w:ascii="Times New Roman" w:eastAsia="標楷體" w:hAnsi="Times New Roman" w:hint="eastAsia"/>
              </w:rPr>
              <w:t>的</w:t>
            </w:r>
            <w:r w:rsidRPr="000B5B65">
              <w:rPr>
                <w:rFonts w:ascii="Times New Roman" w:eastAsia="標楷體" w:hAnsi="Times New Roman"/>
              </w:rPr>
              <w:t>慢性病理性認知及</w:t>
            </w:r>
            <w:r>
              <w:rPr>
                <w:rFonts w:ascii="Times New Roman" w:eastAsia="標楷體" w:hAnsi="Times New Roman" w:hint="eastAsia"/>
              </w:rPr>
              <w:t>感覺</w:t>
            </w:r>
            <w:r w:rsidRPr="000B5B65">
              <w:rPr>
                <w:rFonts w:ascii="Times New Roman" w:eastAsia="標楷體" w:hAnsi="Times New Roman"/>
              </w:rPr>
              <w:t>神經損害</w:t>
            </w:r>
            <w:r>
              <w:rPr>
                <w:rFonts w:ascii="Times New Roman" w:eastAsia="標楷體" w:hAnsi="Times New Roman" w:hint="eastAsia"/>
              </w:rPr>
              <w:t>之症狀治療</w:t>
            </w:r>
            <w:r w:rsidRPr="000B5B65">
              <w:rPr>
                <w:rFonts w:ascii="Times New Roman" w:eastAsia="標楷體" w:hAnsi="Times New Roman"/>
              </w:rPr>
              <w:t>(</w:t>
            </w:r>
            <w:r w:rsidRPr="000B5B65">
              <w:rPr>
                <w:rFonts w:ascii="Times New Roman" w:eastAsia="標楷體" w:hAnsi="Times New Roman"/>
              </w:rPr>
              <w:t>不包括阿茲海默症及其他失智症</w:t>
            </w:r>
            <w:r w:rsidRPr="000B5B65">
              <w:rPr>
                <w:rFonts w:ascii="Times New Roman" w:eastAsia="標楷體" w:hAnsi="Times New Roman"/>
              </w:rPr>
              <w:t>)</w:t>
            </w:r>
            <w:r w:rsidRPr="000B5B65">
              <w:rPr>
                <w:rFonts w:ascii="Times New Roman" w:eastAsia="標楷體" w:hAnsi="Times New Roman"/>
              </w:rPr>
              <w:t>。</w:t>
            </w:r>
          </w:p>
          <w:p w:rsidR="008C4452" w:rsidRDefault="008C4452" w:rsidP="008C4452">
            <w:pPr>
              <w:pStyle w:val="a9"/>
              <w:numPr>
                <w:ilvl w:val="0"/>
                <w:numId w:val="28"/>
              </w:numPr>
              <w:ind w:leftChars="0" w:left="1435" w:hanging="567"/>
              <w:jc w:val="both"/>
              <w:rPr>
                <w:rFonts w:ascii="Times New Roman" w:eastAsia="標楷體" w:hAnsi="Times New Roman"/>
              </w:rPr>
            </w:pPr>
            <w:r w:rsidRPr="000B5B65">
              <w:rPr>
                <w:rFonts w:ascii="Times New Roman" w:eastAsia="標楷體" w:hAnsi="Times New Roman"/>
              </w:rPr>
              <w:t>周邊動脈阻塞性疾病</w:t>
            </w:r>
            <w:r w:rsidRPr="000B5B65">
              <w:rPr>
                <w:rFonts w:ascii="Times New Roman" w:eastAsia="標楷體" w:hAnsi="Times New Roman"/>
              </w:rPr>
              <w:t>(PAOD Stage II)</w:t>
            </w:r>
            <w:r w:rsidRPr="000B5B65">
              <w:rPr>
                <w:rFonts w:ascii="Times New Roman" w:eastAsia="標楷體" w:hAnsi="Times New Roman"/>
              </w:rPr>
              <w:t>的間歇性跛行症狀之輔助治療。</w:t>
            </w:r>
          </w:p>
          <w:p w:rsidR="008C4452" w:rsidRDefault="008C4452" w:rsidP="008C4452">
            <w:pPr>
              <w:pStyle w:val="a9"/>
              <w:numPr>
                <w:ilvl w:val="0"/>
                <w:numId w:val="28"/>
              </w:numPr>
              <w:ind w:leftChars="0" w:hanging="92"/>
              <w:jc w:val="both"/>
              <w:rPr>
                <w:rFonts w:ascii="Times New Roman" w:eastAsia="標楷體" w:hAnsi="Times New Roman"/>
              </w:rPr>
            </w:pPr>
            <w:r w:rsidRPr="000B5B65">
              <w:rPr>
                <w:rFonts w:ascii="Times New Roman" w:eastAsia="標楷體" w:hAnsi="Times New Roman" w:hint="eastAsia"/>
              </w:rPr>
              <w:t>雷諾氏症候群</w:t>
            </w:r>
            <w:r w:rsidRPr="000B5B65">
              <w:rPr>
                <w:rFonts w:ascii="Times New Roman" w:eastAsia="標楷體" w:hAnsi="Times New Roman" w:hint="eastAsia"/>
              </w:rPr>
              <w:t>(</w:t>
            </w:r>
            <w:r w:rsidRPr="000B5B65">
              <w:rPr>
                <w:rFonts w:ascii="Times New Roman" w:hAnsi="Times New Roman"/>
                <w:color w:val="000000"/>
                <w:kern w:val="0"/>
                <w:szCs w:val="24"/>
              </w:rPr>
              <w:t>Raynaud</w:t>
            </w:r>
            <w:proofErr w:type="gramStart"/>
            <w:r w:rsidRPr="000B5B65">
              <w:rPr>
                <w:rFonts w:ascii="Times New Roman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0B5B65">
              <w:rPr>
                <w:rFonts w:ascii="Times New Roman" w:hAnsi="Times New Roman"/>
                <w:color w:val="000000"/>
                <w:kern w:val="0"/>
                <w:szCs w:val="24"/>
              </w:rPr>
              <w:t>s syndrome</w:t>
            </w:r>
            <w:r w:rsidRPr="000B5B65">
              <w:rPr>
                <w:rFonts w:ascii="Times New Roman" w:eastAsia="標楷體" w:hAnsi="Times New Roman" w:hint="eastAsia"/>
              </w:rPr>
              <w:t>)</w:t>
            </w:r>
            <w:r w:rsidRPr="000B5B65">
              <w:rPr>
                <w:rFonts w:ascii="Times New Roman" w:eastAsia="標楷體" w:hAnsi="Times New Roman" w:hint="eastAsia"/>
              </w:rPr>
              <w:t>之輔助治療。</w:t>
            </w:r>
          </w:p>
          <w:p w:rsidR="008C4452" w:rsidRDefault="008C4452" w:rsidP="008C4452">
            <w:pPr>
              <w:pStyle w:val="a9"/>
              <w:numPr>
                <w:ilvl w:val="0"/>
                <w:numId w:val="28"/>
              </w:numPr>
              <w:ind w:leftChars="0" w:hanging="92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血管原性的</w:t>
            </w:r>
            <w:proofErr w:type="gramEnd"/>
            <w:r>
              <w:rPr>
                <w:rFonts w:ascii="Times New Roman" w:eastAsia="標楷體" w:hAnsi="Times New Roman" w:hint="eastAsia"/>
              </w:rPr>
              <w:t>視力減退及視野擾亂之輔助治療。</w:t>
            </w:r>
          </w:p>
          <w:p w:rsidR="008C4452" w:rsidRDefault="008C4452" w:rsidP="008C4452">
            <w:pPr>
              <w:pStyle w:val="a9"/>
              <w:numPr>
                <w:ilvl w:val="0"/>
                <w:numId w:val="28"/>
              </w:numPr>
              <w:ind w:leftChars="0" w:hanging="92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血管原性的</w:t>
            </w:r>
            <w:proofErr w:type="gramEnd"/>
            <w:r>
              <w:rPr>
                <w:rFonts w:ascii="Times New Roman" w:eastAsia="標楷體" w:hAnsi="Times New Roman" w:hint="eastAsia"/>
              </w:rPr>
              <w:t>急性視網膜病變。</w:t>
            </w:r>
          </w:p>
          <w:p w:rsidR="008C4452" w:rsidRDefault="008C4452" w:rsidP="008C4452">
            <w:pPr>
              <w:pStyle w:val="a9"/>
              <w:numPr>
                <w:ilvl w:val="0"/>
                <w:numId w:val="28"/>
              </w:numPr>
              <w:ind w:leftChars="0" w:hanging="9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預防偏頭痛。</w:t>
            </w:r>
          </w:p>
          <w:p w:rsidR="008C4452" w:rsidRDefault="008C4452" w:rsidP="008C4452">
            <w:pPr>
              <w:pStyle w:val="a9"/>
              <w:numPr>
                <w:ilvl w:val="0"/>
                <w:numId w:val="28"/>
              </w:numPr>
              <w:ind w:leftChars="0" w:hanging="9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姿態性低血壓。</w:t>
            </w:r>
          </w:p>
          <w:p w:rsidR="008C4452" w:rsidRPr="008C4452" w:rsidRDefault="008C4452" w:rsidP="008C4452">
            <w:pPr>
              <w:pStyle w:val="a9"/>
              <w:numPr>
                <w:ilvl w:val="0"/>
                <w:numId w:val="28"/>
              </w:numPr>
              <w:ind w:leftChars="0" w:hanging="92"/>
              <w:jc w:val="both"/>
              <w:rPr>
                <w:rFonts w:ascii="Times New Roman" w:eastAsia="標楷體" w:hAnsi="Times New Roman"/>
              </w:rPr>
            </w:pPr>
            <w:r w:rsidRPr="008C4452">
              <w:rPr>
                <w:rFonts w:ascii="Times New Roman" w:eastAsia="標楷體" w:hAnsi="Times New Roman" w:hint="eastAsia"/>
              </w:rPr>
              <w:t>靜脈淋巴功能不全之症狀治療。</w:t>
            </w:r>
          </w:p>
          <w:p w:rsidR="000327A8" w:rsidRPr="008C4452" w:rsidRDefault="007E3579" w:rsidP="008C4452">
            <w:pPr>
              <w:pStyle w:val="a9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僅核有</w:t>
            </w:r>
            <w:r w:rsidR="008C4452">
              <w:rPr>
                <w:rFonts w:ascii="Times New Roman" w:eastAsia="標楷體" w:hAnsi="Times New Roman" w:hint="eastAsia"/>
              </w:rPr>
              <w:t>上</w:t>
            </w:r>
            <w:r>
              <w:rPr>
                <w:rFonts w:ascii="Times New Roman" w:eastAsia="標楷體" w:hAnsi="Times New Roman" w:hint="eastAsia"/>
              </w:rPr>
              <w:t>述適應症</w:t>
            </w:r>
            <w:r w:rsidR="004C2E70">
              <w:rPr>
                <w:rFonts w:ascii="Times New Roman" w:eastAsia="標楷體" w:hAnsi="Times New Roman" w:hint="eastAsia"/>
              </w:rPr>
              <w:t>的</w:t>
            </w:r>
            <w:r w:rsidRPr="00B82B7C">
              <w:rPr>
                <w:rFonts w:ascii="Times New Roman" w:eastAsia="標楷體" w:hAnsi="Times New Roman"/>
                <w:szCs w:val="24"/>
              </w:rPr>
              <w:t>ergot</w:t>
            </w:r>
            <w:r w:rsidR="00C62945">
              <w:rPr>
                <w:rFonts w:ascii="Times New Roman" w:eastAsia="標楷體" w:hAnsi="Times New Roman" w:hint="eastAsia"/>
                <w:szCs w:val="24"/>
              </w:rPr>
              <w:t>衍生物</w:t>
            </w:r>
            <w:r w:rsidRPr="00B82B7C">
              <w:rPr>
                <w:rFonts w:ascii="Times New Roman" w:eastAsia="標楷體" w:hAnsi="標楷體"/>
                <w:szCs w:val="24"/>
              </w:rPr>
              <w:t>相關</w:t>
            </w:r>
            <w:r w:rsidRPr="00B82B7C">
              <w:rPr>
                <w:rFonts w:ascii="Times New Roman" w:eastAsia="標楷體" w:hAnsi="標楷體"/>
                <w:color w:val="000000"/>
                <w:szCs w:val="24"/>
              </w:rPr>
              <w:t>成分藥品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將</w:t>
            </w:r>
            <w:r w:rsidR="00C62945">
              <w:rPr>
                <w:rFonts w:ascii="Times New Roman" w:eastAsia="標楷體" w:hAnsi="標楷體" w:hint="eastAsia"/>
                <w:color w:val="000000"/>
                <w:szCs w:val="24"/>
              </w:rPr>
              <w:t>於歐盟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暫停</w:t>
            </w:r>
            <w:r w:rsidR="004C2E70">
              <w:rPr>
                <w:rFonts w:ascii="Times New Roman" w:eastAsia="標楷體" w:hAnsi="標楷體" w:hint="eastAsia"/>
                <w:color w:val="000000"/>
                <w:szCs w:val="24"/>
              </w:rPr>
              <w:t>銷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售，</w:t>
            </w:r>
            <w:r w:rsidR="004C2E70">
              <w:rPr>
                <w:rFonts w:ascii="Times New Roman" w:eastAsia="標楷體" w:hAnsi="標楷體" w:hint="eastAsia"/>
                <w:color w:val="000000"/>
                <w:szCs w:val="24"/>
              </w:rPr>
              <w:t>但對於核有其他適應症如失智症</w:t>
            </w:r>
            <w:r w:rsidR="004C2E70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="004C2E70">
              <w:rPr>
                <w:rFonts w:ascii="Times New Roman" w:eastAsia="標楷體" w:hAnsi="標楷體" w:hint="eastAsia"/>
                <w:color w:val="000000"/>
                <w:szCs w:val="24"/>
              </w:rPr>
              <w:t>包括阿茲海默症</w:t>
            </w:r>
            <w:r w:rsidR="004C2E70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="004C2E70">
              <w:rPr>
                <w:rFonts w:ascii="Times New Roman" w:eastAsia="標楷體" w:hAnsi="標楷體" w:hint="eastAsia"/>
                <w:color w:val="000000"/>
                <w:szCs w:val="24"/>
              </w:rPr>
              <w:t>及治療急性偏頭痛之藥品</w:t>
            </w:r>
            <w:r w:rsidR="000C7510">
              <w:rPr>
                <w:rFonts w:ascii="Times New Roman" w:eastAsia="標楷體" w:hAnsi="標楷體" w:hint="eastAsia"/>
                <w:color w:val="000000"/>
                <w:szCs w:val="24"/>
              </w:rPr>
              <w:t>仍</w:t>
            </w:r>
            <w:r w:rsidR="004C2E70">
              <w:rPr>
                <w:rFonts w:ascii="Times New Roman" w:eastAsia="標楷體" w:hAnsi="標楷體" w:hint="eastAsia"/>
                <w:color w:val="000000"/>
                <w:szCs w:val="24"/>
              </w:rPr>
              <w:t>可繼續使用。</w:t>
            </w:r>
          </w:p>
        </w:tc>
      </w:tr>
      <w:tr w:rsidR="00211E09" w:rsidRPr="00136184" w:rsidTr="00282AD9">
        <w:trPr>
          <w:trHeight w:val="1379"/>
          <w:jc w:val="center"/>
        </w:trPr>
        <w:tc>
          <w:tcPr>
            <w:tcW w:w="1791" w:type="dxa"/>
            <w:vAlign w:val="center"/>
          </w:tcPr>
          <w:p w:rsidR="00211E09" w:rsidRPr="00D16650" w:rsidRDefault="00211E09" w:rsidP="00416206">
            <w:pPr>
              <w:pStyle w:val="a8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16650">
              <w:rPr>
                <w:rFonts w:ascii="Times New Roman" w:hAnsi="Times New Roman"/>
                <w:color w:val="000000"/>
              </w:rPr>
              <w:t>TFDA</w:t>
            </w:r>
            <w:r w:rsidRPr="00D16650">
              <w:rPr>
                <w:rFonts w:ascii="Times New Roman" w:hAnsi="標楷體" w:hint="eastAsia"/>
                <w:color w:val="000000"/>
              </w:rPr>
              <w:t>風險溝通說明</w:t>
            </w:r>
            <w:r w:rsidRPr="00D1665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828" w:type="dxa"/>
          </w:tcPr>
          <w:p w:rsidR="00A546CC" w:rsidRPr="000327A8" w:rsidRDefault="00097928" w:rsidP="00A546C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</w:rPr>
              <w:t>食品藥物管理署</w:t>
            </w:r>
            <w:r w:rsidR="00211E09" w:rsidRPr="00E74E4C">
              <w:rPr>
                <w:rFonts w:ascii="Times New Roman" w:eastAsia="標楷體" w:hAnsi="標楷體" w:cs="Times New Roman" w:hint="eastAsia"/>
                <w:b/>
                <w:bCs/>
                <w:color w:val="000000"/>
              </w:rPr>
              <w:t>後續措施：</w:t>
            </w:r>
          </w:p>
          <w:p w:rsidR="000327A8" w:rsidRPr="000327A8" w:rsidRDefault="006D4EE6" w:rsidP="008C4452">
            <w:pPr>
              <w:pStyle w:val="Web"/>
              <w:numPr>
                <w:ilvl w:val="0"/>
                <w:numId w:val="33"/>
              </w:numPr>
              <w:spacing w:before="0" w:beforeAutospacing="0" w:after="0" w:afterAutospacing="0" w:line="400" w:lineRule="exact"/>
              <w:ind w:left="459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我國</w:t>
            </w:r>
            <w:r w:rsidR="000327A8" w:rsidRPr="000327A8">
              <w:rPr>
                <w:rFonts w:ascii="Times New Roman" w:eastAsia="標楷體" w:hAnsi="Times New Roman" w:cs="Times New Roman" w:hint="eastAsia"/>
                <w:bCs/>
                <w:color w:val="000000"/>
              </w:rPr>
              <w:t>未核准該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等</w:t>
            </w:r>
            <w:r w:rsidR="000327A8" w:rsidRPr="000327A8">
              <w:rPr>
                <w:rFonts w:ascii="Times New Roman" w:eastAsia="標楷體" w:hAnsi="Times New Roman" w:cs="Times New Roman" w:hint="eastAsia"/>
                <w:bCs/>
                <w:color w:val="000000"/>
              </w:rPr>
              <w:t>成分藥品用於</w:t>
            </w:r>
            <w:r w:rsidR="008C4452">
              <w:rPr>
                <w:rFonts w:ascii="Times New Roman" w:eastAsia="標楷體" w:hAnsi="Times New Roman" w:cs="Times New Roman" w:hint="eastAsia"/>
                <w:bCs/>
                <w:color w:val="000000"/>
              </w:rPr>
              <w:t>本次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警訊中</w:t>
            </w:r>
            <w:r w:rsidR="008C4452">
              <w:rPr>
                <w:rFonts w:ascii="Times New Roman" w:eastAsia="標楷體" w:hAnsi="Times New Roman" w:cs="Times New Roman" w:hint="eastAsia"/>
                <w:bCs/>
                <w:color w:val="000000"/>
              </w:rPr>
              <w:t>限縮使用之</w:t>
            </w:r>
            <w:r w:rsidR="000327A8" w:rsidRPr="000327A8">
              <w:rPr>
                <w:rFonts w:ascii="Times New Roman" w:eastAsia="標楷體" w:hAnsi="Times New Roman" w:cs="Times New Roman" w:hint="eastAsia"/>
                <w:bCs/>
                <w:color w:val="000000"/>
              </w:rPr>
              <w:t>適應症</w:t>
            </w:r>
            <w:r w:rsidR="008C4452">
              <w:rPr>
                <w:rFonts w:ascii="Times New Roman" w:eastAsia="標楷體" w:hAnsi="Times New Roman" w:cs="Times New Roman" w:hint="eastAsia"/>
                <w:bCs/>
                <w:color w:val="000000"/>
              </w:rPr>
              <w:t>。</w:t>
            </w:r>
          </w:p>
          <w:p w:rsidR="000327A8" w:rsidRPr="000327A8" w:rsidRDefault="000327A8" w:rsidP="000327A8">
            <w:pPr>
              <w:pStyle w:val="Web"/>
              <w:numPr>
                <w:ilvl w:val="0"/>
                <w:numId w:val="33"/>
              </w:numPr>
              <w:spacing w:before="0" w:beforeAutospacing="0" w:after="0" w:afterAutospacing="0" w:line="400" w:lineRule="exact"/>
              <w:ind w:left="459"/>
              <w:rPr>
                <w:rFonts w:ascii="Times New Roman" w:eastAsia="標楷體" w:hAnsi="Times New Roman" w:cs="Times New Roman"/>
                <w:bCs/>
                <w:color w:val="000000"/>
              </w:rPr>
            </w:pPr>
            <w:proofErr w:type="gramStart"/>
            <w:r w:rsidRPr="000327A8">
              <w:rPr>
                <w:rFonts w:ascii="Times New Roman" w:eastAsia="標楷體" w:hAnsi="Times New Roman" w:cs="Times New Roman" w:hint="eastAsia"/>
                <w:bCs/>
                <w:color w:val="000000"/>
              </w:rPr>
              <w:t>本署將</w:t>
            </w:r>
            <w:proofErr w:type="gramEnd"/>
            <w:r w:rsidRPr="000327A8">
              <w:rPr>
                <w:rFonts w:ascii="Times New Roman" w:eastAsia="標楷體" w:hAnsi="Times New Roman" w:cs="Times New Roman" w:hint="eastAsia"/>
                <w:bCs/>
                <w:color w:val="000000"/>
              </w:rPr>
              <w:t>持續監控國內外相關安全訊息，必要時將進行再評估。</w:t>
            </w:r>
          </w:p>
          <w:p w:rsidR="000327A8" w:rsidRPr="000327A8" w:rsidRDefault="00211E09" w:rsidP="000327A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74E4C">
              <w:rPr>
                <w:rFonts w:ascii="Times New Roman" w:eastAsia="標楷體" w:hAnsi="標楷體" w:cs="Times New Roman" w:hint="eastAsia"/>
                <w:b/>
                <w:bCs/>
                <w:color w:val="000000"/>
                <w:u w:val="single"/>
              </w:rPr>
              <w:t>醫療人員</w:t>
            </w:r>
            <w:r w:rsidRPr="00E74E4C">
              <w:rPr>
                <w:rFonts w:ascii="Times New Roman" w:eastAsia="標楷體" w:hAnsi="標楷體" w:cs="Times New Roman" w:hint="eastAsia"/>
                <w:b/>
                <w:color w:val="000000"/>
              </w:rPr>
              <w:t>應注意事項：</w:t>
            </w:r>
          </w:p>
          <w:p w:rsidR="000327A8" w:rsidRPr="000327A8" w:rsidRDefault="000327A8" w:rsidP="000327A8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lastRenderedPageBreak/>
              <w:t>醫療人員</w:t>
            </w:r>
            <w:r w:rsidRPr="000327A8">
              <w:rPr>
                <w:rFonts w:ascii="Times New Roman" w:eastAsia="標楷體" w:hAnsi="Times New Roman" w:hint="eastAsia"/>
                <w:color w:val="000000"/>
              </w:rPr>
              <w:t>處方</w:t>
            </w:r>
            <w:r w:rsidRPr="000327A8">
              <w:rPr>
                <w:rFonts w:ascii="Times New Roman" w:eastAsia="標楷體" w:hAnsi="Times New Roman"/>
                <w:color w:val="000000"/>
              </w:rPr>
              <w:t>含</w:t>
            </w:r>
            <w:r w:rsidRPr="000327A8">
              <w:rPr>
                <w:rFonts w:ascii="Times New Roman" w:eastAsia="標楷體" w:hAnsi="Times New Roman"/>
              </w:rPr>
              <w:t>ergot</w:t>
            </w:r>
            <w:r w:rsidRPr="000327A8">
              <w:rPr>
                <w:rFonts w:ascii="Times New Roman" w:eastAsia="標楷體" w:hAnsi="Times New Roman" w:hint="eastAsia"/>
              </w:rPr>
              <w:t>衍生物</w:t>
            </w:r>
            <w:r w:rsidRPr="000327A8">
              <w:rPr>
                <w:rFonts w:ascii="Times New Roman" w:eastAsia="標楷體" w:hAnsi="標楷體"/>
              </w:rPr>
              <w:t>相關</w:t>
            </w:r>
            <w:r w:rsidRPr="000327A8">
              <w:rPr>
                <w:rFonts w:ascii="Times New Roman" w:eastAsia="標楷體" w:hAnsi="標楷體"/>
                <w:color w:val="000000"/>
              </w:rPr>
              <w:t>成分藥品</w:t>
            </w:r>
            <w:r>
              <w:rPr>
                <w:rFonts w:ascii="Times New Roman" w:eastAsia="標楷體" w:hAnsi="標楷體" w:hint="eastAsia"/>
                <w:color w:val="000000"/>
              </w:rPr>
              <w:t>時，宜謹慎評估病人用藥之風險及臨床效益</w:t>
            </w:r>
            <w:r w:rsidRPr="000327A8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:rsidR="008C6698" w:rsidRPr="000327A8" w:rsidRDefault="000327A8" w:rsidP="000327A8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0327A8">
              <w:rPr>
                <w:rFonts w:ascii="Times New Roman" w:eastAsia="標楷體" w:hAnsi="Times New Roman" w:hint="eastAsia"/>
                <w:color w:val="000000"/>
              </w:rPr>
              <w:t>目</w:t>
            </w:r>
            <w:r w:rsidR="0059009C" w:rsidRPr="000327A8">
              <w:rPr>
                <w:rFonts w:ascii="Times New Roman" w:eastAsia="標楷體" w:hAnsi="Times New Roman" w:hint="eastAsia"/>
              </w:rPr>
              <w:t>前正在使用這類藥品於上述適應症的病人應定期回診評估追蹤。</w:t>
            </w:r>
          </w:p>
          <w:p w:rsidR="00900DF0" w:rsidRDefault="00900DF0" w:rsidP="00900DF0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ED412A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ED412A">
              <w:rPr>
                <w:rFonts w:ascii="Times New Roman" w:eastAsia="標楷體" w:hAnsi="Times New Roman" w:cs="Times New Roman"/>
              </w:rPr>
              <w:t>應注意事項：</w:t>
            </w:r>
          </w:p>
          <w:p w:rsidR="009B55CC" w:rsidRPr="00ED412A" w:rsidRDefault="009B55CC" w:rsidP="00DB5B5F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400" w:lineRule="exact"/>
              <w:ind w:left="459"/>
              <w:rPr>
                <w:rFonts w:ascii="Times New Roman" w:eastAsia="標楷體" w:hAnsi="Times New Roman" w:cs="Times New Roman"/>
              </w:rPr>
            </w:pPr>
            <w:r w:rsidRPr="00ED412A">
              <w:rPr>
                <w:rFonts w:ascii="Times New Roman" w:eastAsia="標楷體" w:hAnsi="Times New Roman" w:cs="Times New Roman"/>
              </w:rPr>
              <w:t>倘若於用藥期間有任何不適或疑問，應立即就醫，切勿自行停藥。</w:t>
            </w:r>
          </w:p>
          <w:p w:rsidR="009B55CC" w:rsidRPr="009B55CC" w:rsidRDefault="009B55CC" w:rsidP="00DB5B5F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400" w:lineRule="exact"/>
              <w:ind w:left="459"/>
              <w:rPr>
                <w:rFonts w:ascii="Times New Roman" w:eastAsia="標楷體" w:hAnsi="Times New Roman" w:cs="Times New Roman"/>
              </w:rPr>
            </w:pPr>
            <w:r w:rsidRPr="00ED412A">
              <w:rPr>
                <w:rFonts w:ascii="Times New Roman" w:eastAsia="標楷體" w:hAnsi="標楷體" w:cs="Times New Roman"/>
              </w:rPr>
              <w:t>目前使用該藥品之民眾應諮詢其開立處方之醫師。</w:t>
            </w:r>
          </w:p>
          <w:p w:rsidR="00211E09" w:rsidRPr="00963793" w:rsidRDefault="00211E09" w:rsidP="009C71CB">
            <w:pPr>
              <w:pStyle w:val="Default"/>
              <w:spacing w:line="400" w:lineRule="exact"/>
              <w:ind w:left="350" w:hangingChars="146" w:hanging="350"/>
              <w:jc w:val="both"/>
              <w:rPr>
                <w:rFonts w:ascii="Times New Roman" w:eastAsia="標楷體" w:cs="Times New Roman"/>
                <w:bCs/>
                <w:color w:val="auto"/>
              </w:rPr>
            </w:pPr>
            <w:r w:rsidRPr="00963793">
              <w:rPr>
                <w:rFonts w:ascii="標楷體" w:eastAsia="標楷體" w:hAnsi="標楷體" w:cs="Times New Roman" w:hint="eastAsia"/>
              </w:rPr>
              <w:t>◎</w:t>
            </w:r>
            <w:r w:rsidRPr="00963793">
              <w:rPr>
                <w:rFonts w:ascii="Times New Roman" w:eastAsia="標楷體" w:cs="Times New Roman"/>
              </w:rPr>
              <w:t xml:space="preserve"> </w:t>
            </w:r>
            <w:r w:rsidR="00097928">
              <w:rPr>
                <w:rFonts w:ascii="Times New Roman" w:eastAsia="標楷體" w:hAnsi="標楷體" w:cs="Times New Roman" w:hint="eastAsia"/>
              </w:rPr>
              <w:t>醫療人員或病人</w:t>
            </w:r>
            <w:r w:rsidRPr="00963793">
              <w:rPr>
                <w:rFonts w:ascii="Times New Roman" w:eastAsia="標楷體" w:hAnsi="標楷體" w:cs="Times New Roman" w:hint="eastAsia"/>
              </w:rPr>
              <w:t>懷疑因為使用（服用）藥品導致不良反應發生時，請立</w:t>
            </w:r>
            <w:r w:rsidR="00097928">
              <w:rPr>
                <w:rFonts w:ascii="Times New Roman" w:eastAsia="標楷體" w:hAnsi="標楷體" w:cs="Times New Roman" w:hint="eastAsia"/>
              </w:rPr>
              <w:t>即通報給衛生</w:t>
            </w:r>
            <w:proofErr w:type="gramStart"/>
            <w:r w:rsidR="00097928">
              <w:rPr>
                <w:rFonts w:ascii="Times New Roman" w:eastAsia="標楷體" w:hAnsi="標楷體" w:cs="Times New Roman" w:hint="eastAsia"/>
              </w:rPr>
              <w:t>福利部</w:t>
            </w:r>
            <w:r w:rsidRPr="00963793">
              <w:rPr>
                <w:rFonts w:ascii="Times New Roman" w:eastAsia="標楷體" w:hAnsi="標楷體" w:cs="Times New Roman" w:hint="eastAsia"/>
              </w:rPr>
              <w:t>所建置</w:t>
            </w:r>
            <w:proofErr w:type="gramEnd"/>
            <w:r w:rsidRPr="00963793">
              <w:rPr>
                <w:rFonts w:ascii="Times New Roman" w:eastAsia="標楷體" w:hAnsi="標楷體" w:cs="Times New Roman" w:hint="eastAsia"/>
              </w:rPr>
              <w:t>之全國藥物不良反應通報中心並副知所屬廠商，藥物不良反應通報專線</w:t>
            </w:r>
            <w:r w:rsidRPr="00963793">
              <w:rPr>
                <w:rFonts w:ascii="Times New Roman" w:eastAsia="標楷體" w:cs="Times New Roman"/>
              </w:rPr>
              <w:t>02-2396-0100</w:t>
            </w:r>
            <w:r w:rsidRPr="00963793">
              <w:rPr>
                <w:rFonts w:ascii="Times New Roman" w:eastAsia="標楷體" w:hAnsi="標楷體" w:cs="Times New Roman" w:hint="eastAsia"/>
              </w:rPr>
              <w:t>，網站：</w:t>
            </w:r>
            <w:r w:rsidRPr="00963793">
              <w:rPr>
                <w:rFonts w:ascii="Times New Roman" w:eastAsia="標楷體" w:cs="Times New Roman"/>
              </w:rPr>
              <w:t>http://adr.fda.gov.tw</w:t>
            </w:r>
            <w:r w:rsidRPr="00963793">
              <w:rPr>
                <w:rFonts w:ascii="Times New Roman" w:eastAsia="標楷體" w:hAnsi="標楷體" w:cs="Times New Roman" w:hint="eastAsia"/>
              </w:rPr>
              <w:t>。</w:t>
            </w:r>
            <w:r w:rsidRPr="00963793">
              <w:rPr>
                <w:rFonts w:ascii="Times New Roman" w:eastAsia="標楷體" w:cs="Times New Roman"/>
              </w:rPr>
              <w:t xml:space="preserve"> </w:t>
            </w:r>
          </w:p>
        </w:tc>
      </w:tr>
    </w:tbl>
    <w:p w:rsidR="00C5326B" w:rsidRDefault="00C5326B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B33A22" w:rsidRDefault="00B33A22" w:rsidP="00C5326B"/>
    <w:p w:rsidR="00C675DC" w:rsidRDefault="00C675DC" w:rsidP="00C5326B"/>
    <w:p w:rsidR="00B33A22" w:rsidRPr="00393859" w:rsidRDefault="00B33A22" w:rsidP="00B33A22">
      <w:pPr>
        <w:jc w:val="center"/>
      </w:pPr>
      <w:r w:rsidRPr="00AE71AC">
        <w:rPr>
          <w:rFonts w:ascii="Times New Roman" w:eastAsia="標楷體" w:hAnsi="標楷體"/>
          <w:b/>
          <w:sz w:val="32"/>
          <w:szCs w:val="32"/>
        </w:rPr>
        <w:lastRenderedPageBreak/>
        <w:t>衛生</w:t>
      </w:r>
      <w:r w:rsidR="00BF19E2">
        <w:rPr>
          <w:rFonts w:ascii="Times New Roman" w:eastAsia="標楷體" w:hAnsi="標楷體" w:hint="eastAsia"/>
          <w:b/>
          <w:sz w:val="32"/>
          <w:szCs w:val="32"/>
        </w:rPr>
        <w:t>福利部</w:t>
      </w:r>
      <w:bookmarkStart w:id="0" w:name="_GoBack"/>
      <w:bookmarkEnd w:id="0"/>
      <w:r w:rsidRPr="00AE71AC">
        <w:rPr>
          <w:rFonts w:ascii="Times New Roman" w:eastAsia="標楷體" w:hAnsi="標楷體"/>
          <w:b/>
          <w:sz w:val="32"/>
          <w:szCs w:val="32"/>
        </w:rPr>
        <w:t>核准</w:t>
      </w:r>
      <w:r w:rsidRPr="00B33A22">
        <w:rPr>
          <w:rFonts w:ascii="Times New Roman" w:eastAsia="標楷體" w:hAnsi="標楷體" w:hint="eastAsia"/>
          <w:b/>
          <w:sz w:val="32"/>
          <w:szCs w:val="32"/>
        </w:rPr>
        <w:t>Ergot</w:t>
      </w:r>
      <w:r w:rsidRPr="00B33A22">
        <w:rPr>
          <w:rFonts w:ascii="Times New Roman" w:eastAsia="標楷體" w:hAnsi="標楷體" w:hint="eastAsia"/>
          <w:b/>
          <w:sz w:val="32"/>
          <w:szCs w:val="32"/>
        </w:rPr>
        <w:t>衍生物相關成分</w:t>
      </w:r>
      <w:r w:rsidRPr="005B34BD">
        <w:rPr>
          <w:rFonts w:ascii="Times New Roman" w:eastAsia="標楷體" w:hAnsi="標楷體"/>
          <w:b/>
          <w:sz w:val="32"/>
          <w:szCs w:val="32"/>
        </w:rPr>
        <w:t>藥品</w:t>
      </w:r>
      <w:r w:rsidRPr="00AE71AC">
        <w:rPr>
          <w:rFonts w:ascii="Times New Roman" w:eastAsia="標楷體" w:hAnsi="標楷體"/>
          <w:b/>
          <w:sz w:val="32"/>
          <w:szCs w:val="32"/>
        </w:rPr>
        <w:t>許可證</w:t>
      </w:r>
    </w:p>
    <w:p w:rsidR="00B33A22" w:rsidRDefault="00B33A22" w:rsidP="00B33A22">
      <w:pPr>
        <w:rPr>
          <w:rFonts w:ascii="Times New Roman" w:eastAsia="標楷體" w:hAnsi="Times New Roman"/>
          <w:szCs w:val="24"/>
        </w:rPr>
      </w:pPr>
      <w:proofErr w:type="spellStart"/>
      <w:r w:rsidRPr="00B33A22">
        <w:rPr>
          <w:rFonts w:ascii="Times New Roman" w:eastAsia="標楷體" w:hAnsi="Times New Roman"/>
          <w:szCs w:val="24"/>
        </w:rPr>
        <w:t>Dihydroergocristine</w:t>
      </w:r>
      <w:proofErr w:type="spellEnd"/>
      <w:r w:rsidRPr="00B33A22">
        <w:rPr>
          <w:rFonts w:ascii="Times New Roman" w:eastAsia="標楷體" w:hAnsi="Times New Roman"/>
          <w:szCs w:val="24"/>
        </w:rPr>
        <w:t>成分藥品許可證</w:t>
      </w:r>
      <w:r w:rsidR="00A4403B">
        <w:rPr>
          <w:rFonts w:ascii="Times New Roman" w:eastAsia="標楷體" w:hAnsi="Times New Roman" w:hint="eastAsia"/>
          <w:szCs w:val="24"/>
        </w:rPr>
        <w:t>共</w:t>
      </w:r>
      <w:r w:rsidR="00A4403B">
        <w:rPr>
          <w:rFonts w:ascii="Times New Roman" w:eastAsia="標楷體" w:hAnsi="Times New Roman" w:hint="eastAsia"/>
          <w:szCs w:val="24"/>
        </w:rPr>
        <w:t>0</w:t>
      </w:r>
      <w:r w:rsidR="00A4403B">
        <w:rPr>
          <w:rFonts w:ascii="Times New Roman" w:eastAsia="標楷體" w:hAnsi="Times New Roman" w:hint="eastAsia"/>
          <w:szCs w:val="24"/>
        </w:rPr>
        <w:t>張</w:t>
      </w:r>
      <w:r w:rsidR="00A4403B">
        <w:rPr>
          <w:rFonts w:ascii="Times New Roman" w:eastAsia="標楷體" w:hAnsi="Times New Roman" w:hint="eastAsia"/>
          <w:szCs w:val="24"/>
        </w:rPr>
        <w:t xml:space="preserve"> </w:t>
      </w:r>
      <w:r w:rsidRPr="00B33A22">
        <w:rPr>
          <w:rFonts w:ascii="Times New Roman" w:eastAsia="標楷體" w:hAnsi="Times New Roman"/>
          <w:szCs w:val="24"/>
        </w:rPr>
        <w:t>(</w:t>
      </w:r>
      <w:proofErr w:type="gramStart"/>
      <w:r w:rsidRPr="00B33A22">
        <w:rPr>
          <w:rFonts w:ascii="Times New Roman" w:eastAsia="標楷體" w:hAnsi="Times New Roman"/>
          <w:szCs w:val="24"/>
        </w:rPr>
        <w:t>均已註銷</w:t>
      </w:r>
      <w:proofErr w:type="gramEnd"/>
      <w:r w:rsidRPr="00B33A22">
        <w:rPr>
          <w:rFonts w:ascii="Times New Roman" w:eastAsia="標楷體" w:hAnsi="Times New Roman"/>
          <w:szCs w:val="24"/>
        </w:rPr>
        <w:t>)</w:t>
      </w:r>
    </w:p>
    <w:p w:rsidR="00B33A22" w:rsidRDefault="00B33A22" w:rsidP="00B33A22">
      <w:pPr>
        <w:rPr>
          <w:rFonts w:ascii="Times New Roman" w:eastAsia="標楷體" w:hAnsi="Times New Roman"/>
          <w:szCs w:val="24"/>
        </w:rPr>
      </w:pPr>
    </w:p>
    <w:p w:rsidR="00B33A22" w:rsidRPr="00FF644F" w:rsidRDefault="00B33A22" w:rsidP="00C5326B">
      <w:pPr>
        <w:rPr>
          <w:rFonts w:ascii="Times New Roman" w:eastAsia="標楷體" w:hAnsi="Times New Roman"/>
          <w:szCs w:val="24"/>
        </w:rPr>
      </w:pPr>
      <w:proofErr w:type="spellStart"/>
      <w:r w:rsidRPr="00FF644F">
        <w:rPr>
          <w:rFonts w:ascii="Times New Roman" w:eastAsia="標楷體" w:hAnsi="Times New Roman" w:hint="eastAsia"/>
          <w:szCs w:val="24"/>
        </w:rPr>
        <w:t>Dihydroergotamine</w:t>
      </w:r>
      <w:proofErr w:type="spellEnd"/>
      <w:r w:rsidRPr="00FF644F">
        <w:rPr>
          <w:rFonts w:ascii="Times New Roman" w:eastAsia="標楷體" w:hAnsi="Times New Roman" w:hint="eastAsia"/>
          <w:szCs w:val="24"/>
        </w:rPr>
        <w:t>成分藥品許可證共</w:t>
      </w:r>
      <w:r w:rsidRPr="00FF644F">
        <w:rPr>
          <w:rFonts w:ascii="Times New Roman" w:eastAsia="標楷體" w:hAnsi="Times New Roman" w:hint="eastAsia"/>
          <w:szCs w:val="24"/>
        </w:rPr>
        <w:t>4</w:t>
      </w:r>
      <w:r w:rsidRPr="00FF644F">
        <w:rPr>
          <w:rFonts w:ascii="Times New Roman" w:eastAsia="標楷體" w:hAnsi="Times New Roman" w:hint="eastAsia"/>
          <w:szCs w:val="24"/>
        </w:rPr>
        <w:t>張</w:t>
      </w:r>
    </w:p>
    <w:tbl>
      <w:tblPr>
        <w:tblpPr w:leftFromText="180" w:rightFromText="180" w:vertAnchor="page" w:horzAnchor="margin" w:tblpY="3316"/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9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1278"/>
        <w:gridCol w:w="709"/>
        <w:gridCol w:w="1276"/>
        <w:gridCol w:w="1294"/>
        <w:gridCol w:w="1046"/>
        <w:gridCol w:w="1481"/>
        <w:gridCol w:w="1118"/>
      </w:tblGrid>
      <w:tr w:rsidR="00FF644F" w:rsidRPr="00FF644F" w:rsidTr="006D4EE6">
        <w:trPr>
          <w:trHeight w:val="342"/>
        </w:trPr>
        <w:tc>
          <w:tcPr>
            <w:tcW w:w="365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標楷體"/>
                <w:sz w:val="20"/>
                <w:szCs w:val="20"/>
              </w:rPr>
              <w:t>許可證字號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標楷體"/>
                <w:sz w:val="20"/>
                <w:szCs w:val="20"/>
              </w:rPr>
              <w:t>有效日期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標楷體"/>
                <w:sz w:val="20"/>
                <w:szCs w:val="20"/>
              </w:rPr>
              <w:t>中文品名</w:t>
            </w:r>
          </w:p>
        </w:tc>
        <w:tc>
          <w:tcPr>
            <w:tcW w:w="129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標楷體"/>
                <w:sz w:val="20"/>
                <w:szCs w:val="20"/>
              </w:rPr>
              <w:t>英文品名</w:t>
            </w:r>
          </w:p>
        </w:tc>
        <w:tc>
          <w:tcPr>
            <w:tcW w:w="104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標楷體"/>
                <w:sz w:val="20"/>
                <w:szCs w:val="20"/>
              </w:rPr>
              <w:t>申請商</w:t>
            </w:r>
          </w:p>
        </w:tc>
        <w:tc>
          <w:tcPr>
            <w:tcW w:w="148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標楷體"/>
                <w:sz w:val="20"/>
                <w:szCs w:val="20"/>
              </w:rPr>
              <w:t>製造廠</w:t>
            </w:r>
          </w:p>
        </w:tc>
        <w:tc>
          <w:tcPr>
            <w:tcW w:w="1118" w:type="dxa"/>
            <w:shd w:val="clear" w:color="auto" w:fill="auto"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標楷體"/>
                <w:sz w:val="20"/>
                <w:szCs w:val="20"/>
              </w:rPr>
              <w:t>適應症</w:t>
            </w:r>
          </w:p>
        </w:tc>
      </w:tr>
      <w:tr w:rsidR="00FF644F" w:rsidRPr="00FF644F" w:rsidTr="006D4EE6">
        <w:trPr>
          <w:trHeight w:val="492"/>
        </w:trPr>
        <w:tc>
          <w:tcPr>
            <w:tcW w:w="365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in;height:18pt" o:ole="">
                  <v:imagedata r:id="rId9" o:title=""/>
                </v:shape>
                <w:control r:id="rId10" w:name="DefaultOcxName40" w:shapeid="_x0000_i1058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61" type="#_x0000_t75" style="width:1in;height:18pt" o:ole="">
                  <v:imagedata r:id="rId11" o:title=""/>
                </v:shape>
                <w:control r:id="rId12" w:name="DefaultOcxName119" w:shapeid="_x0000_i1061"/>
              </w:object>
            </w:r>
            <w:hyperlink r:id="rId13" w:tgtFrame="_blank" w:history="1"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衛</w:t>
              </w:r>
              <w:proofErr w:type="gramStart"/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署藥製字</w:t>
              </w:r>
              <w:proofErr w:type="gramEnd"/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第</w:t>
              </w:r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047570</w:t>
              </w:r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號</w:t>
              </w:r>
            </w:hyperlink>
          </w:p>
        </w:tc>
        <w:tc>
          <w:tcPr>
            <w:tcW w:w="709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64" type="#_x0000_t75" style="width:1in;height:18pt" o:ole="">
                  <v:imagedata r:id="rId14" o:title=""/>
                </v:shape>
                <w:control r:id="rId15" w:name="DefaultOcxName217" w:shapeid="_x0000_i1064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67" type="#_x0000_t75" style="width:1in;height:18pt" o:ole="">
                  <v:imagedata r:id="rId16" o:title=""/>
                </v:shape>
                <w:control r:id="rId17" w:name="DefaultOcxName310" w:shapeid="_x0000_i1067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104/10/11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proofErr w:type="gramStart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汎</w:t>
            </w:r>
            <w:proofErr w:type="gramEnd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宇</w: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 xml:space="preserve">" </w:t>
            </w:r>
            <w:proofErr w:type="gramStart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樂悠</w:t>
            </w:r>
            <w:proofErr w:type="gramEnd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 xml:space="preserve"> </w: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錠</w:t>
            </w:r>
          </w:p>
        </w:tc>
        <w:tc>
          <w:tcPr>
            <w:tcW w:w="129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spellStart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Rayor</w:t>
            </w:r>
            <w:proofErr w:type="spellEnd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 xml:space="preserve"> Tablets "Cosmic"</w:t>
            </w:r>
          </w:p>
        </w:tc>
        <w:tc>
          <w:tcPr>
            <w:tcW w:w="104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汎宇藥</w:t>
            </w:r>
            <w:proofErr w:type="gramEnd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業股份有限公司</w:t>
            </w:r>
          </w:p>
        </w:tc>
        <w:tc>
          <w:tcPr>
            <w:tcW w:w="148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衛達化學製藥股份有限公司</w:t>
            </w:r>
          </w:p>
        </w:tc>
        <w:tc>
          <w:tcPr>
            <w:tcW w:w="1118" w:type="dxa"/>
            <w:shd w:val="clear" w:color="auto" w:fill="auto"/>
          </w:tcPr>
          <w:p w:rsidR="00B33A22" w:rsidRPr="00B33A22" w:rsidRDefault="00B33A22" w:rsidP="00B33A22">
            <w:pPr>
              <w:rPr>
                <w:rFonts w:ascii="標楷體" w:eastAsia="標楷體" w:hAnsi="標楷體" w:cs="Arial"/>
                <w:sz w:val="21"/>
                <w:szCs w:val="21"/>
              </w:rPr>
            </w:pPr>
            <w:r w:rsidRPr="00FF644F">
              <w:rPr>
                <w:rFonts w:ascii="標楷體" w:eastAsia="標楷體" w:hAnsi="標楷體" w:cs="Arial"/>
                <w:sz w:val="21"/>
                <w:szCs w:val="21"/>
              </w:rPr>
              <w:t>偏頭痛</w:t>
            </w:r>
          </w:p>
        </w:tc>
      </w:tr>
      <w:tr w:rsidR="00FF644F" w:rsidRPr="00FF644F" w:rsidTr="006D4EE6">
        <w:trPr>
          <w:trHeight w:val="153"/>
        </w:trPr>
        <w:tc>
          <w:tcPr>
            <w:tcW w:w="365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70" type="#_x0000_t75" style="width:1in;height:18pt" o:ole="">
                  <v:imagedata r:id="rId18" o:title=""/>
                </v:shape>
                <w:control r:id="rId19" w:name="DefaultOcxName49" w:shapeid="_x0000_i1070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73" type="#_x0000_t75" style="width:1in;height:18pt" o:ole="">
                  <v:imagedata r:id="rId20" o:title=""/>
                </v:shape>
                <w:control r:id="rId21" w:name="DefaultOcxName56" w:shapeid="_x0000_i1073"/>
              </w:object>
            </w:r>
            <w:hyperlink r:id="rId22" w:tgtFrame="_blank" w:history="1"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衛</w:t>
              </w:r>
              <w:proofErr w:type="gramStart"/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署藥製字</w:t>
              </w:r>
              <w:proofErr w:type="gramEnd"/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第</w:t>
              </w:r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051195</w:t>
              </w:r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號</w:t>
              </w:r>
            </w:hyperlink>
          </w:p>
        </w:tc>
        <w:tc>
          <w:tcPr>
            <w:tcW w:w="709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76" type="#_x0000_t75" style="width:1in;height:18pt" o:ole="">
                  <v:imagedata r:id="rId23" o:title=""/>
                </v:shape>
                <w:control r:id="rId24" w:name="DefaultOcxName66" w:shapeid="_x0000_i1076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79" type="#_x0000_t75" style="width:1in;height:18pt" o:ole="">
                  <v:imagedata r:id="rId25" o:title=""/>
                </v:shape>
                <w:control r:id="rId26" w:name="DefaultOcxName76" w:shapeid="_x0000_i1079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103/09/28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“</w: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優生</w: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”</w: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喜樂活錠</w: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 xml:space="preserve"> 1 </w: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毫克</w:t>
            </w:r>
          </w:p>
        </w:tc>
        <w:tc>
          <w:tcPr>
            <w:tcW w:w="129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spellStart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Digalo</w:t>
            </w:r>
            <w:proofErr w:type="spellEnd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 xml:space="preserve"> Tablets 1 </w:t>
            </w:r>
            <w:proofErr w:type="spellStart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mg“Yu</w:t>
            </w:r>
            <w:proofErr w:type="spellEnd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 xml:space="preserve"> Sheng”</w:t>
            </w:r>
          </w:p>
        </w:tc>
        <w:tc>
          <w:tcPr>
            <w:tcW w:w="104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優生製藥廠股份有限公司</w:t>
            </w:r>
          </w:p>
        </w:tc>
        <w:tc>
          <w:tcPr>
            <w:tcW w:w="148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優生製藥廠股份有限公司</w:t>
            </w:r>
          </w:p>
        </w:tc>
        <w:tc>
          <w:tcPr>
            <w:tcW w:w="1118" w:type="dxa"/>
            <w:shd w:val="clear" w:color="auto" w:fill="auto"/>
          </w:tcPr>
          <w:p w:rsidR="00B33A22" w:rsidRPr="00FF644F" w:rsidRDefault="00B33A22">
            <w:pPr>
              <w:rPr>
                <w:sz w:val="21"/>
                <w:szCs w:val="21"/>
              </w:rPr>
            </w:pPr>
            <w:r w:rsidRPr="00FF644F">
              <w:rPr>
                <w:rFonts w:ascii="標楷體" w:eastAsia="標楷體" w:hAnsi="標楷體" w:cs="Arial"/>
                <w:sz w:val="21"/>
                <w:szCs w:val="21"/>
              </w:rPr>
              <w:t>偏頭痛</w:t>
            </w:r>
          </w:p>
        </w:tc>
      </w:tr>
      <w:tr w:rsidR="00FF644F" w:rsidRPr="00FF644F" w:rsidTr="006D4EE6">
        <w:trPr>
          <w:trHeight w:val="984"/>
        </w:trPr>
        <w:tc>
          <w:tcPr>
            <w:tcW w:w="365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82" type="#_x0000_t75" style="width:1in;height:18pt" o:ole="">
                  <v:imagedata r:id="rId27" o:title=""/>
                </v:shape>
                <w:control r:id="rId28" w:name="DefaultOcxName84" w:shapeid="_x0000_i1082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85" type="#_x0000_t75" style="width:1in;height:18pt" o:ole="">
                  <v:imagedata r:id="rId29" o:title=""/>
                </v:shape>
                <w:control r:id="rId30" w:name="DefaultOcxName94" w:shapeid="_x0000_i1085"/>
              </w:object>
            </w:r>
            <w:hyperlink r:id="rId31" w:tgtFrame="_blank" w:history="1"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衛</w:t>
              </w:r>
              <w:proofErr w:type="gramStart"/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署藥製字</w:t>
              </w:r>
              <w:proofErr w:type="gramEnd"/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第</w:t>
              </w:r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057356</w:t>
              </w:r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號</w:t>
              </w:r>
            </w:hyperlink>
          </w:p>
        </w:tc>
        <w:tc>
          <w:tcPr>
            <w:tcW w:w="709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88" type="#_x0000_t75" style="width:1in;height:18pt" o:ole="">
                  <v:imagedata r:id="rId32" o:title=""/>
                </v:shape>
                <w:control r:id="rId33" w:name="DefaultOcxName104" w:shapeid="_x0000_i1088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91" type="#_x0000_t75" style="width:1in;height:18pt" o:ole="">
                  <v:imagedata r:id="rId34" o:title=""/>
                </v:shape>
                <w:control r:id="rId35" w:name="DefaultOcxName118" w:shapeid="_x0000_i1091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106/09/04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樂息痛</w:t>
            </w:r>
            <w:proofErr w:type="gramEnd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膠囊</w: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5</w: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毫克</w:t>
            </w:r>
          </w:p>
        </w:tc>
        <w:tc>
          <w:tcPr>
            <w:tcW w:w="129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spellStart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Lesiton</w:t>
            </w:r>
            <w:proofErr w:type="spellEnd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 xml:space="preserve"> capsules 5mg</w:t>
            </w:r>
          </w:p>
        </w:tc>
        <w:tc>
          <w:tcPr>
            <w:tcW w:w="104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瑞士藥廠股份有限公司</w:t>
            </w:r>
          </w:p>
        </w:tc>
        <w:tc>
          <w:tcPr>
            <w:tcW w:w="148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瑞士藥廠股份有限公司新市廠</w:t>
            </w:r>
          </w:p>
        </w:tc>
        <w:tc>
          <w:tcPr>
            <w:tcW w:w="1118" w:type="dxa"/>
            <w:shd w:val="clear" w:color="auto" w:fill="auto"/>
          </w:tcPr>
          <w:p w:rsidR="00B33A22" w:rsidRPr="00FF644F" w:rsidRDefault="00B33A22">
            <w:pPr>
              <w:rPr>
                <w:sz w:val="21"/>
                <w:szCs w:val="21"/>
              </w:rPr>
            </w:pPr>
            <w:r w:rsidRPr="00FF644F">
              <w:rPr>
                <w:rFonts w:ascii="標楷體" w:eastAsia="標楷體" w:hAnsi="標楷體" w:cs="Arial"/>
                <w:sz w:val="21"/>
                <w:szCs w:val="21"/>
              </w:rPr>
              <w:t>偏頭痛</w:t>
            </w:r>
          </w:p>
        </w:tc>
      </w:tr>
      <w:tr w:rsidR="00FF644F" w:rsidRPr="00FF644F" w:rsidTr="006D4EE6">
        <w:trPr>
          <w:trHeight w:val="22"/>
        </w:trPr>
        <w:tc>
          <w:tcPr>
            <w:tcW w:w="365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33A22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94" type="#_x0000_t75" style="width:1in;height:18pt" o:ole="">
                  <v:imagedata r:id="rId36" o:title=""/>
                </v:shape>
                <w:control r:id="rId37" w:name="DefaultOcxName124" w:shapeid="_x0000_i1094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097" type="#_x0000_t75" style="width:1in;height:18pt" o:ole="">
                  <v:imagedata r:id="rId38" o:title=""/>
                </v:shape>
                <w:control r:id="rId39" w:name="DefaultOcxName134" w:shapeid="_x0000_i1097"/>
              </w:object>
            </w:r>
            <w:hyperlink r:id="rId40" w:tgtFrame="_blank" w:history="1"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衛</w:t>
              </w:r>
              <w:proofErr w:type="gramStart"/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署藥輸字</w:t>
              </w:r>
              <w:proofErr w:type="gramEnd"/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第</w:t>
              </w:r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018310</w:t>
              </w:r>
              <w:r w:rsidRPr="00FF644F">
                <w:rPr>
                  <w:rFonts w:ascii="Times New Roman" w:eastAsia="標楷體" w:hAnsi="Times New Roman"/>
                  <w:sz w:val="21"/>
                  <w:szCs w:val="21"/>
                </w:rPr>
                <w:t>號</w:t>
              </w:r>
            </w:hyperlink>
          </w:p>
        </w:tc>
        <w:tc>
          <w:tcPr>
            <w:tcW w:w="709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100" type="#_x0000_t75" style="width:1in;height:18pt" o:ole="">
                  <v:imagedata r:id="rId41" o:title=""/>
                </v:shape>
                <w:control r:id="rId42" w:name="DefaultOcxName144" w:shapeid="_x0000_i1100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object w:dxaOrig="225" w:dyaOrig="225">
                <v:shape id="_x0000_i1103" type="#_x0000_t75" style="width:1in;height:18pt" o:ole="">
                  <v:imagedata r:id="rId43" o:title=""/>
                </v:shape>
                <w:control r:id="rId44" w:name="DefaultOcxName154" w:shapeid="_x0000_i1103"/>
              </w:object>
            </w: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94/10/22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樂又適</w:t>
            </w:r>
            <w:proofErr w:type="gramEnd"/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錠</w:t>
            </w:r>
          </w:p>
        </w:tc>
        <w:tc>
          <w:tcPr>
            <w:tcW w:w="129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RAYOSU TABLETS</w:t>
            </w:r>
          </w:p>
        </w:tc>
        <w:tc>
          <w:tcPr>
            <w:tcW w:w="104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一成藥品股份有限公司</w:t>
            </w:r>
          </w:p>
        </w:tc>
        <w:tc>
          <w:tcPr>
            <w:tcW w:w="148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B33A22" w:rsidRPr="00FF644F" w:rsidRDefault="00B33A22" w:rsidP="00A4403B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Times New Roman" w:eastAsia="標楷體" w:hAnsi="Times New Roman"/>
                <w:sz w:val="21"/>
                <w:szCs w:val="21"/>
              </w:rPr>
              <w:t>NISSIN PHARM. CO., LTD.</w:t>
            </w:r>
          </w:p>
        </w:tc>
        <w:tc>
          <w:tcPr>
            <w:tcW w:w="1118" w:type="dxa"/>
            <w:shd w:val="clear" w:color="auto" w:fill="auto"/>
          </w:tcPr>
          <w:p w:rsidR="00B33A22" w:rsidRPr="00B33A22" w:rsidRDefault="00B33A22" w:rsidP="00B33A22">
            <w:pPr>
              <w:adjustRightInd w:val="0"/>
              <w:snapToGrid w:val="0"/>
              <w:rPr>
                <w:rFonts w:ascii="Times New Roman" w:eastAsia="標楷體" w:hAnsi="Times New Roman"/>
                <w:sz w:val="21"/>
                <w:szCs w:val="21"/>
              </w:rPr>
            </w:pPr>
            <w:r w:rsidRPr="00FF644F">
              <w:rPr>
                <w:rFonts w:ascii="標楷體" w:eastAsia="標楷體" w:hAnsi="標楷體" w:cs="Arial"/>
                <w:sz w:val="21"/>
                <w:szCs w:val="21"/>
              </w:rPr>
              <w:t>偏頭痛</w:t>
            </w:r>
          </w:p>
        </w:tc>
      </w:tr>
    </w:tbl>
    <w:p w:rsidR="00B33A22" w:rsidRDefault="00B33A22" w:rsidP="00C5326B"/>
    <w:p w:rsidR="00B33A22" w:rsidRDefault="00A4403B" w:rsidP="00C5326B">
      <w:pPr>
        <w:rPr>
          <w:rFonts w:ascii="Times New Roman" w:eastAsia="標楷體" w:hAnsi="Times New Roman"/>
          <w:szCs w:val="24"/>
        </w:rPr>
      </w:pPr>
      <w:proofErr w:type="spellStart"/>
      <w:r>
        <w:rPr>
          <w:rFonts w:ascii="Times New Roman" w:hAnsi="Times New Roman" w:hint="eastAsia"/>
          <w:szCs w:val="24"/>
        </w:rPr>
        <w:t>D</w:t>
      </w:r>
      <w:r>
        <w:rPr>
          <w:rFonts w:ascii="Times New Roman" w:hAnsi="Times New Roman"/>
          <w:szCs w:val="24"/>
        </w:rPr>
        <w:t>ihydroergotoxine</w:t>
      </w:r>
      <w:proofErr w:type="spellEnd"/>
      <w:r w:rsidR="00B33A22" w:rsidRPr="00B33A22">
        <w:rPr>
          <w:rFonts w:ascii="Times New Roman" w:eastAsia="標楷體" w:hAnsi="Times New Roman" w:hint="eastAsia"/>
          <w:szCs w:val="24"/>
        </w:rPr>
        <w:t>成分藥品許可證共</w:t>
      </w:r>
      <w:r>
        <w:rPr>
          <w:rFonts w:ascii="Times New Roman" w:eastAsia="標楷體" w:hAnsi="Times New Roman" w:hint="eastAsia"/>
          <w:szCs w:val="24"/>
        </w:rPr>
        <w:t>22</w:t>
      </w:r>
      <w:r w:rsidR="00B33A22" w:rsidRPr="00B33A22">
        <w:rPr>
          <w:rFonts w:ascii="Times New Roman" w:eastAsia="標楷體" w:hAnsi="Times New Roman" w:hint="eastAsia"/>
          <w:szCs w:val="24"/>
        </w:rPr>
        <w:t>張</w:t>
      </w:r>
    </w:p>
    <w:tbl>
      <w:tblPr>
        <w:tblpPr w:leftFromText="180" w:rightFromText="180" w:vertAnchor="page" w:horzAnchor="margin" w:tblpY="10051"/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9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296"/>
        <w:gridCol w:w="708"/>
        <w:gridCol w:w="1276"/>
        <w:gridCol w:w="1701"/>
        <w:gridCol w:w="992"/>
        <w:gridCol w:w="1134"/>
        <w:gridCol w:w="1112"/>
      </w:tblGrid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FF644F" w:rsidRPr="006B5E3C" w:rsidRDefault="00FF644F" w:rsidP="00FF644F">
            <w:pPr>
              <w:adjustRightInd w:val="0"/>
              <w:snapToGrid w:val="0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 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FF644F" w:rsidRPr="006B5E3C" w:rsidRDefault="00FF644F" w:rsidP="00FF644F">
            <w:pPr>
              <w:adjustRightInd w:val="0"/>
              <w:snapToGrid w:val="0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許可證字號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FF644F" w:rsidRPr="006B5E3C" w:rsidRDefault="00FF644F" w:rsidP="00FF644F">
            <w:pPr>
              <w:adjustRightInd w:val="0"/>
              <w:snapToGrid w:val="0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有效日期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FF644F" w:rsidRPr="006B5E3C" w:rsidRDefault="00FF644F" w:rsidP="00FF644F">
            <w:pPr>
              <w:adjustRightInd w:val="0"/>
              <w:snapToGrid w:val="0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中文品名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FF644F" w:rsidRPr="006B5E3C" w:rsidRDefault="00FF644F" w:rsidP="00FF644F">
            <w:pPr>
              <w:adjustRightInd w:val="0"/>
              <w:snapToGrid w:val="0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英文品名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FF644F" w:rsidRPr="006B5E3C" w:rsidRDefault="00FF644F" w:rsidP="00FF644F">
            <w:pPr>
              <w:adjustRightInd w:val="0"/>
              <w:snapToGrid w:val="0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申請商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FF644F" w:rsidRPr="006B5E3C" w:rsidRDefault="00FF644F" w:rsidP="00FF644F">
            <w:pPr>
              <w:adjustRightInd w:val="0"/>
              <w:snapToGrid w:val="0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製造廠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F644F" w:rsidRPr="006B5E3C" w:rsidRDefault="00FF644F" w:rsidP="006B5E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適應症</w:t>
            </w:r>
          </w:p>
        </w:tc>
      </w:tr>
      <w:tr w:rsidR="006B5E3C" w:rsidRPr="006B5E3C" w:rsidTr="006D4EE6">
        <w:trPr>
          <w:trHeight w:val="49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hideMark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020115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104/01/05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特腦健錠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TRIDERGEN TABLETS (DIHYDROERGOTOXINE MESYLATE)" ROYAL 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皇佳化學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皇佳化學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製藥股份有限公司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</w:t>
            </w:r>
          </w:p>
        </w:tc>
      </w:tr>
      <w:tr w:rsidR="006B5E3C" w:rsidRPr="006B5E3C" w:rsidTr="006D4EE6">
        <w:trPr>
          <w:trHeight w:val="153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hideMark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021417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107/05/08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永豐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益腦暢錠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１．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ERGONOSAN TABLETS 1.5MG (DIHYDROERGOTOXINE MSYLATE) "Y.F."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永豐化學工業股份有限公司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永豐化學工業股份有限公司新莊工廠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hideMark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3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024280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103/05/25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安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得寧錠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ANTOXINE TABLETS (DIHYDROERGOTOXINE METHANESULFONATE)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惠德藥品有限公司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新喜國際企業股份有限公司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hideMark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4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024866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103/05/25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元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宙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 xml:space="preserve">" 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腦立健錠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１．５毫克（待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spell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Hytergen</w:t>
            </w:r>
            <w:proofErr w:type="spell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 xml:space="preserve"> Tablets 1.5mg "Y.C."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元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宙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化學製藥股份有限公司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元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宙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化學製藥股份有限公司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hideMark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5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024937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107/05/25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宜腦脈錠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１．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ENBRAIN TABLETS 1.5MG (DIHYDROERGOTOXINE MESYLATE)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合誠化學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合誠化學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製藥股份有限公司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老人痴呆之補助治療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6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025028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107/05/25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促腦健錠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１．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TRIROGIN TABLETS 1.5MG (DIHYDROERGOTOXINE)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振貿股份有限公司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永吉製藥股份有限公司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腦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動脈硬化症腦疾病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（腦血壓過高、中風、頭部外傷）之後遺症及腦血管之障礙症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7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025155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103/03/30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治腦健錠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１．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CHINOZEN TABLETS 1.5MG (DIHYDROERGOTOXINE MESYLATE) "SHITEH"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西德有機化學藥品股份有限公司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西德有機化學藥品股份有限公司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8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025243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103/04/16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益爾生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錠１．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ERGOXIN TABLETS 1.5MG (DIHYDROERGOTOXINE METHANESULFONATE) "S.C."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十全實業股份有限公司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十全實業股份有限公司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9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026105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107/08/28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益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利循錠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１．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ELISTIN TABLETS 1.5MG (DIHYDROERGOTOXINE MESYLATE "STANDARD"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生達化學製藥股份有限公司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生達化學製藥股份有限公司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026908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103/05/25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腦得喜錠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１．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RERTOXIN TABLETS 1.5MG (DIHYDROERGOTOXINE) "UNION"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聯邦化學製藥股份有限公司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聯邦化學製藥股份有限公司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11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030437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104/04/18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利健注射液０．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３公絲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？公撮（待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HEADGEN INJECTION 0.3MG/ML (DIHYDROERGOTOXINE MESYLATE)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永信藥品工業股份有限公司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永信藥品工業股份有限公司台中幼獅廠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12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030945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107/06/16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喜得鎮錠１．５公絲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甲基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磺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酸二氫麥角毒？）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HYDERGINE TABLETS 1.5MG (DIHYDROERGOTOXINE MESYLATE)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臺灣諾華股份有限公司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聯亞生技開發股份有限公司新竹二廠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13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031053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103/08/15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利健錠（待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HEADGEN TABLETS (DIHYDROERGOTOXINE MESYLATE)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永信藥品工業股份有限公司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永信藥品工業股份有限公司台中幼獅廠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14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032531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103/01/29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腦得果寧錠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１．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（待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HYDERTOSIN TABLETS 1.5MG (DIHYDROERGOTOXINE MESYLATE)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中國化學製藥股份有限公司新豐工廠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中國化學製藥股份有限公司新豐工廠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15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041017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106/04/07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"'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強生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易各樂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錠１．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(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特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赫果信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ERGOLOID TABLETS 1.5MG (DIHYDROERGOTOXINE MESYLATE) "JOHNSON"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強生化學製藥廠股份有限公司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強生化學製藥廠股份有限公司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寮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16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042125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107/04/29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治腦康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錠１．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（甲基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磺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酸二氫麥角毒　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CHINOCON TABLETS 1.5MG (DIHYDROERGOTOXINE MESYLATE)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德周製藥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德周製藥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癡呆之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輔助治療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17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043733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104/05/08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優邁錠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１．５公絲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”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優良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”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 xml:space="preserve">　　　　　　　　　　　　　　　　　　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 xml:space="preserve"> U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ERGO TABLETS 1.5MG "U-LIANG"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優良化學製藥股份有限公司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優良化學製藥股份有限公司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癡呆之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輔助治療。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18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048772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106/05/30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可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明憶錠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 xml:space="preserve"> 2 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毫克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spell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Anxomine</w:t>
            </w:r>
            <w:proofErr w:type="spell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 xml:space="preserve"> Tablet 2mg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瑩碩生技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醫藥股份有限公司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聯亞生技開發股份有限公司新竹廠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19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050223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103/07/09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“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世達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”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腦益健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 xml:space="preserve"> 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錠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 xml:space="preserve"> 2 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毫克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spell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Naizhu</w:t>
            </w:r>
            <w:proofErr w:type="spell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 xml:space="preserve"> Tablets 2 </w:t>
            </w:r>
            <w:proofErr w:type="spell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mg“S.D</w:t>
            </w:r>
            <w:proofErr w:type="spell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.”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世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達藥品工業股份有限公司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世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達藥品工業股份有限公司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癡呆之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輔助治療。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20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052462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104/01/20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憶能健錠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spell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Smartgen</w:t>
            </w:r>
            <w:proofErr w:type="spell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 xml:space="preserve"> Tab. 2 mg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毅冠藥品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十全實業股份有限公司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癡呆之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輔助治療。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21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署藥輸字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020012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107/07/23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佳立那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 xml:space="preserve">" 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甲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磺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酸二氫麥角毒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DIHYDROERGOTOXINE MESYLATE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新雙隆生技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TEVA CZECH INDUSTRIES S.R.O.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腦血管及末梢循環障礙。</w:t>
            </w:r>
          </w:p>
        </w:tc>
      </w:tr>
      <w:tr w:rsidR="006B5E3C" w:rsidRPr="006B5E3C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22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署藥輸字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020553</w:t>
            </w: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103/07/25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抑塞錠２公絲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ELMESATT TABLET 2MG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昇</w:t>
            </w:r>
            <w:proofErr w:type="gramEnd"/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順股份有限公司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TOWA PHARMACEUTICAL CO LTD. (OKAYAMA FACTORY)</w:t>
            </w:r>
          </w:p>
        </w:tc>
        <w:tc>
          <w:tcPr>
            <w:tcW w:w="1112" w:type="dxa"/>
            <w:shd w:val="clear" w:color="auto" w:fill="auto"/>
          </w:tcPr>
          <w:p w:rsidR="006B5E3C" w:rsidRPr="006B5E3C" w:rsidRDefault="006B5E3C" w:rsidP="006B5E3C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老人痴呆之輔助治療。</w:t>
            </w:r>
          </w:p>
        </w:tc>
      </w:tr>
    </w:tbl>
    <w:p w:rsidR="00B33A22" w:rsidRDefault="00B33A22" w:rsidP="00C5326B">
      <w:pPr>
        <w:rPr>
          <w:rFonts w:ascii="Times New Roman" w:eastAsia="標楷體" w:hAnsi="Times New Roman"/>
          <w:szCs w:val="24"/>
        </w:rPr>
      </w:pPr>
    </w:p>
    <w:p w:rsidR="00A4403B" w:rsidRDefault="00A4403B" w:rsidP="00C5326B">
      <w:pPr>
        <w:rPr>
          <w:rFonts w:ascii="Times New Roman" w:eastAsia="標楷體" w:hAnsi="Times New Roman"/>
          <w:szCs w:val="24"/>
        </w:rPr>
      </w:pPr>
    </w:p>
    <w:p w:rsidR="006B5E3C" w:rsidRDefault="00A4403B" w:rsidP="006B5E3C">
      <w:pPr>
        <w:rPr>
          <w:rFonts w:ascii="Times New Roman" w:eastAsia="標楷體" w:hAnsi="Times New Roman"/>
          <w:szCs w:val="24"/>
        </w:rPr>
      </w:pPr>
      <w:proofErr w:type="spellStart"/>
      <w:r>
        <w:rPr>
          <w:rFonts w:ascii="Times New Roman" w:hAnsi="Times New Roman" w:hint="eastAsia"/>
          <w:szCs w:val="24"/>
        </w:rPr>
        <w:t>N</w:t>
      </w:r>
      <w:r>
        <w:rPr>
          <w:rFonts w:ascii="Times New Roman" w:hAnsi="Times New Roman"/>
          <w:szCs w:val="24"/>
        </w:rPr>
        <w:t>icergoline</w:t>
      </w:r>
      <w:proofErr w:type="spellEnd"/>
      <w:r w:rsidR="006B5E3C" w:rsidRPr="00B33A22">
        <w:rPr>
          <w:rFonts w:ascii="Times New Roman" w:eastAsia="標楷體" w:hAnsi="Times New Roman" w:hint="eastAsia"/>
          <w:szCs w:val="24"/>
        </w:rPr>
        <w:t>成分藥品許可證共</w:t>
      </w:r>
      <w:r>
        <w:rPr>
          <w:rFonts w:ascii="Times New Roman" w:eastAsia="標楷體" w:hAnsi="Times New Roman" w:hint="eastAsia"/>
          <w:szCs w:val="24"/>
        </w:rPr>
        <w:t>24</w:t>
      </w:r>
      <w:r w:rsidR="006B5E3C" w:rsidRPr="00B33A22">
        <w:rPr>
          <w:rFonts w:ascii="Times New Roman" w:eastAsia="標楷體" w:hAnsi="Times New Roman" w:hint="eastAsia"/>
          <w:szCs w:val="24"/>
        </w:rPr>
        <w:t>張</w:t>
      </w:r>
    </w:p>
    <w:tbl>
      <w:tblPr>
        <w:tblpPr w:leftFromText="180" w:rightFromText="180" w:vertAnchor="page" w:horzAnchor="margin" w:tblpY="2011"/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9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296"/>
        <w:gridCol w:w="708"/>
        <w:gridCol w:w="1276"/>
        <w:gridCol w:w="1701"/>
        <w:gridCol w:w="992"/>
        <w:gridCol w:w="1134"/>
        <w:gridCol w:w="1112"/>
      </w:tblGrid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</w:tcPr>
          <w:p w:rsidR="00A4403B" w:rsidRPr="00A4403B" w:rsidRDefault="00A4403B" w:rsidP="006D4E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</w:tcPr>
          <w:p w:rsidR="00A4403B" w:rsidRPr="00A4403B" w:rsidRDefault="00A4403B" w:rsidP="006D4E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許可證字號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</w:tcPr>
          <w:p w:rsidR="00A4403B" w:rsidRPr="00A4403B" w:rsidRDefault="006D4EE6" w:rsidP="006D4E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6B5E3C">
              <w:rPr>
                <w:rFonts w:ascii="Times New Roman" w:eastAsia="標楷體" w:hAnsi="Times New Roman"/>
                <w:sz w:val="21"/>
                <w:szCs w:val="21"/>
              </w:rPr>
              <w:t>有效日期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</w:tcPr>
          <w:p w:rsidR="00A4403B" w:rsidRPr="00A4403B" w:rsidRDefault="00A4403B" w:rsidP="006D4E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中文品名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</w:tcPr>
          <w:p w:rsidR="00A4403B" w:rsidRPr="00A4403B" w:rsidRDefault="00A4403B" w:rsidP="006D4E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英文品名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</w:tcPr>
          <w:p w:rsidR="00A4403B" w:rsidRPr="00A4403B" w:rsidRDefault="00A4403B" w:rsidP="006D4E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申請商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</w:tcPr>
          <w:p w:rsidR="00A4403B" w:rsidRPr="00A4403B" w:rsidRDefault="00A4403B" w:rsidP="006D4E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製造廠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4403B" w:rsidRPr="00A4403B" w:rsidRDefault="00A4403B" w:rsidP="006D4EE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適應症</w:t>
            </w:r>
          </w:p>
        </w:tc>
      </w:tr>
      <w:tr w:rsidR="00A4403B" w:rsidRPr="00A4403B" w:rsidTr="006D4EE6">
        <w:trPr>
          <w:trHeight w:val="49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031225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103/01/19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抑血凝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ACERINE S.C. TABLETS 5MG (NICERGOLINE) "WEIDAR"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衛達化學製藥股份有限公司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衛達化學製藥股份有限公司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</w:t>
            </w:r>
          </w:p>
        </w:tc>
      </w:tr>
      <w:tr w:rsidR="00A4403B" w:rsidRPr="00A4403B" w:rsidTr="006D4EE6">
        <w:trPr>
          <w:trHeight w:val="153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031282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103/03/07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利達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脈立旺錠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１０毫克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MARION TABLETS 10MG "LITA"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利達製藥股份有限公司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利達製藥股份有限公司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3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031283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103/03/07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利達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 xml:space="preserve">" 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脈立旺錠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５毫克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MARION TABLETS 5MG "LITA"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利達製藥股份有限公司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利達製藥股份有限公司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4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032340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104/03/22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腦舒錠５公絲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NIXO TABLETS 5MG (NICERGOLINE) "H.H."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華興化學製藥廠股份有限公司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華興化學製藥廠股份有限公司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5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033825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105/03/20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暢循脈（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１０公絲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NIGOLINE TABLETS 10MG (NICERGOLINE) "Y.C."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元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宙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化學製藥股份有限公司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元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宙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化學製藥股份有限公司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6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035416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106/06/29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脈立舒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MEILISU S.C. TABLETS (NICERGOLINE)"YY"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應元化學製藥股份有限公司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應元化學製藥股份有限公司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7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035820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096/07/13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腦思明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 xml:space="preserve">NORCERHRAIN TABLETS 5MG "KUAI </w:t>
            </w:r>
            <w:proofErr w:type="spell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KUAI</w:t>
            </w:r>
            <w:proofErr w:type="spell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" (NICERGOLINE)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乖乖股份有限公司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優生製藥廠股份有限公司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8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035964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106/12/08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伊適腦膜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衣錠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ESHINOLE F.C. TBALETS 5MG (NICERGOLINE) "F.S."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富生化學製藥股份有限公司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富生化學製藥股份有限公司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9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036073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107/01/11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腦適寧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NICERLINE S.C. TABLETS 5MG (NICERGOLINE) "PFOSHEN"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厚生製藥廠股份有限公司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厚生製藥廠股份有限公司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036192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107/03/04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瑙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舒錠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１０公絲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NIXO TABLETS 10MG "H.S."(NICERGOLINE)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華興化學製藥廠股份有限公司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華興化學製藥廠股份有限公司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11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036661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107/08/23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舒立寧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CERELINE TABLETS 5MG (NICERGOLINE) "ROYAL"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皇佳化學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皇佳化學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製藥股份有限公司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12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036937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102/11/03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血脈通糖衣錠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CERMOLTON X.C. TABLETS 5MG (NICERGOLINE) "CURIE"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居禮化學藥品股份有限公司淡水廠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居禮化學藥品股份有限公司淡水廠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13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037292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103/03/31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達通錠１０公絲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枹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NICER TABLETS 10MG (NICERGOLINE) "H.S."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黃氏製藥股份有限公司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黃氏製藥股份有限公司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14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039702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105/01/10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腦滋麥角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NIGOLINE S.C TABLETS 5MG (NICERGOLINE) "SINPHAR"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杏輝藥品工業股份有限公司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杏輝藥品工業股份有限公司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15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039742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105/01/29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保立能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１０公絲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BOLINON S.C. TABLETS 10MG (NICERGOLINE) "N.W."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內外化學工業股份有限公司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內外化學工業股份有限公司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16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040195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105/08/12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適保能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CEBORIN S.C. TABLETS 5MG (NICERGOLINE)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健喬信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元醫藥生技股份有限公司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健喬信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元醫藥股份有限公司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末稍血管循環障礙。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17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041227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106/05/09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應傑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循利旺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5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毫克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(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spell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Nicermion</w:t>
            </w:r>
            <w:proofErr w:type="spell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 xml:space="preserve"> S.C. Tablets 5mg "Y.J."(</w:t>
            </w:r>
            <w:proofErr w:type="spell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Nicergoline</w:t>
            </w:r>
            <w:proofErr w:type="spell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應傑實業股份有限公司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應元化學製藥股份有限公司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末稍血管循環障礙。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18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041359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103/08/15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血暢錠５公絲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CERGOLINE TABLETS 5MG (NICERGOLINE) "KOJAR"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國嘉製藥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工業股份有限公司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國嘉製藥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工業股份有限公司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19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041825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107/01/13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適保能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１０公絲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CEBORIN S.C. TABLETS 10MG (NICERGOLINE)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健喬信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元醫藥生技股份有限公司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健喬信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元醫藥股份有限公司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20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042499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102/08/05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腦健順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１０公絲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（尼什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寧）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〝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仁興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〞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CERAMON S.C. TABLETS 10MG (NICERGOLINE) "DCPC"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仁興化學製藥股份有限公司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仁興化學製藥股份有限公司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21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署藥製字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052428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103/12/28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“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衛達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”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抑血凝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 xml:space="preserve"> 10 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毫克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spell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Acerine</w:t>
            </w:r>
            <w:proofErr w:type="spell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 xml:space="preserve"> S.C. Tablets 10 </w:t>
            </w:r>
            <w:proofErr w:type="spell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mg“Weidar</w:t>
            </w:r>
            <w:proofErr w:type="spell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”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衛達化學製藥股份有限公司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衛達化學製藥股份有限公司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末梢血管循環障礙。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22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署藥輸字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014029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103/11/26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適脈旺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５公絲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SERMION TABLETS 5MG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輝瑞大藥廠股份有限公司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PFIZER ITALIA S.R.L.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23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署藥輸字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015290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107/08/01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適脈旺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糖衣錠１０毫克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SERMION TABLETS 10MG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輝瑞大藥廠股份有限公司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PFIZER ITALIA S.P.L.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末梢血管循環障礙</w:t>
            </w:r>
          </w:p>
        </w:tc>
      </w:tr>
      <w:tr w:rsidR="00A4403B" w:rsidRPr="00A4403B" w:rsidTr="006D4EE6">
        <w:trPr>
          <w:trHeight w:val="22"/>
        </w:trPr>
        <w:tc>
          <w:tcPr>
            <w:tcW w:w="34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24</w:t>
            </w:r>
          </w:p>
        </w:tc>
        <w:tc>
          <w:tcPr>
            <w:tcW w:w="129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衛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署藥輸字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第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022525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號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103/06/16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"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佳立那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 xml:space="preserve">" </w:t>
            </w: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尼什</w:t>
            </w: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枸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寧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NICERGOLINE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新雙隆生技</w:t>
            </w:r>
            <w:proofErr w:type="gramEnd"/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股份有限公司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TEVA CZECH INDUSTRIES S.R.O.</w:t>
            </w:r>
          </w:p>
        </w:tc>
        <w:tc>
          <w:tcPr>
            <w:tcW w:w="1112" w:type="dxa"/>
            <w:shd w:val="clear" w:color="auto" w:fill="auto"/>
          </w:tcPr>
          <w:p w:rsidR="00A4403B" w:rsidRPr="00A4403B" w:rsidRDefault="00A4403B" w:rsidP="00A4403B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4403B">
              <w:rPr>
                <w:rFonts w:ascii="Times New Roman" w:eastAsia="標楷體" w:hAnsi="Times New Roman"/>
                <w:sz w:val="21"/>
                <w:szCs w:val="21"/>
              </w:rPr>
              <w:t>末梢血液循環障礙。</w:t>
            </w:r>
          </w:p>
        </w:tc>
      </w:tr>
    </w:tbl>
    <w:p w:rsidR="00B33A22" w:rsidRDefault="00B33A22" w:rsidP="00C5326B"/>
    <w:p w:rsidR="00A4403B" w:rsidRPr="00A4403B" w:rsidRDefault="00A4403B" w:rsidP="00C5326B">
      <w:pPr>
        <w:rPr>
          <w:rFonts w:ascii="Times New Roman" w:eastAsia="標楷體" w:hAnsi="Times New Roman"/>
        </w:rPr>
      </w:pPr>
      <w:proofErr w:type="spellStart"/>
      <w:r>
        <w:rPr>
          <w:rFonts w:ascii="Times New Roman" w:eastAsia="標楷體" w:hAnsi="Times New Roman" w:hint="eastAsia"/>
          <w:szCs w:val="24"/>
        </w:rPr>
        <w:t>D</w:t>
      </w:r>
      <w:r w:rsidRPr="00A4403B">
        <w:rPr>
          <w:rFonts w:ascii="Times New Roman" w:eastAsia="標楷體" w:hAnsi="Times New Roman"/>
          <w:szCs w:val="24"/>
        </w:rPr>
        <w:t>ihydroergocryptine</w:t>
      </w:r>
      <w:proofErr w:type="spellEnd"/>
      <w:r w:rsidRPr="00A4403B">
        <w:rPr>
          <w:rFonts w:ascii="Times New Roman" w:eastAsia="標楷體" w:hAnsi="Times New Roman"/>
          <w:szCs w:val="24"/>
        </w:rPr>
        <w:t xml:space="preserve"> + caffeine</w:t>
      </w:r>
      <w:r w:rsidRPr="00A4403B">
        <w:rPr>
          <w:rFonts w:ascii="Times New Roman" w:eastAsia="標楷體" w:hAnsi="Times New Roman"/>
          <w:szCs w:val="24"/>
        </w:rPr>
        <w:t>成分藥品許可證</w:t>
      </w:r>
      <w:r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0</w:t>
      </w:r>
      <w:r>
        <w:rPr>
          <w:rFonts w:ascii="Times New Roman" w:eastAsia="標楷體" w:hAnsi="Times New Roman" w:hint="eastAsia"/>
          <w:szCs w:val="24"/>
        </w:rPr>
        <w:t>張</w:t>
      </w:r>
      <w:r>
        <w:rPr>
          <w:rFonts w:ascii="Times New Roman" w:eastAsia="標楷體" w:hAnsi="Times New Roman" w:hint="eastAsia"/>
          <w:szCs w:val="24"/>
        </w:rPr>
        <w:t xml:space="preserve"> (</w:t>
      </w:r>
      <w:r w:rsidRPr="00A4403B">
        <w:rPr>
          <w:rFonts w:ascii="Times New Roman" w:eastAsia="標楷體" w:hAnsi="Times New Roman"/>
          <w:szCs w:val="24"/>
        </w:rPr>
        <w:t>未核准</w:t>
      </w:r>
      <w:r>
        <w:rPr>
          <w:rFonts w:ascii="Times New Roman" w:eastAsia="標楷體" w:hAnsi="Times New Roman" w:hint="eastAsia"/>
          <w:szCs w:val="24"/>
        </w:rPr>
        <w:t>)</w:t>
      </w:r>
    </w:p>
    <w:sectPr w:rsidR="00A4403B" w:rsidRPr="00A4403B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12" w:rsidRDefault="00C02512" w:rsidP="003B56BC">
      <w:r>
        <w:separator/>
      </w:r>
    </w:p>
  </w:endnote>
  <w:endnote w:type="continuationSeparator" w:id="0">
    <w:p w:rsidR="00C02512" w:rsidRDefault="00C02512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12" w:rsidRDefault="00C02512" w:rsidP="003B56BC">
      <w:r>
        <w:separator/>
      </w:r>
    </w:p>
  </w:footnote>
  <w:footnote w:type="continuationSeparator" w:id="0">
    <w:p w:rsidR="00C02512" w:rsidRDefault="00C02512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hybridMultilevel"/>
    <w:tmpl w:val="843A2786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92D8E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345D2E"/>
    <w:multiLevelType w:val="hybridMultilevel"/>
    <w:tmpl w:val="0E785D7A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BB053F"/>
    <w:multiLevelType w:val="hybridMultilevel"/>
    <w:tmpl w:val="C4963A0C"/>
    <w:lvl w:ilvl="0" w:tplc="0409000D">
      <w:start w:val="1"/>
      <w:numFmt w:val="bullet"/>
      <w:lvlText w:val=""/>
      <w:lvlJc w:val="left"/>
      <w:pPr>
        <w:ind w:left="9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9" w:hanging="480"/>
      </w:pPr>
      <w:rPr>
        <w:rFonts w:ascii="Wingdings" w:hAnsi="Wingdings" w:hint="default"/>
      </w:rPr>
    </w:lvl>
  </w:abstractNum>
  <w:abstractNum w:abstractNumId="3">
    <w:nsid w:val="09EE1A3C"/>
    <w:multiLevelType w:val="hybridMultilevel"/>
    <w:tmpl w:val="6A722000"/>
    <w:lvl w:ilvl="0" w:tplc="0409000B">
      <w:start w:val="1"/>
      <w:numFmt w:val="bullet"/>
      <w:lvlText w:val=""/>
      <w:lvlJc w:val="left"/>
      <w:pPr>
        <w:ind w:left="1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4">
    <w:nsid w:val="0A1A3AC6"/>
    <w:multiLevelType w:val="hybridMultilevel"/>
    <w:tmpl w:val="EDB851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00520E"/>
    <w:multiLevelType w:val="hybridMultilevel"/>
    <w:tmpl w:val="5F5E109E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E0623D"/>
    <w:multiLevelType w:val="hybridMultilevel"/>
    <w:tmpl w:val="0838AB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F802938"/>
    <w:multiLevelType w:val="hybridMultilevel"/>
    <w:tmpl w:val="7DC674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0477BB3"/>
    <w:multiLevelType w:val="hybridMultilevel"/>
    <w:tmpl w:val="8820BAD0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E849D2"/>
    <w:multiLevelType w:val="hybridMultilevel"/>
    <w:tmpl w:val="A79EDC0E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0">
    <w:nsid w:val="292F36F3"/>
    <w:multiLevelType w:val="hybridMultilevel"/>
    <w:tmpl w:val="6874B950"/>
    <w:lvl w:ilvl="0" w:tplc="0409000F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1">
    <w:nsid w:val="2AF41D1D"/>
    <w:multiLevelType w:val="hybridMultilevel"/>
    <w:tmpl w:val="FDBA7BA6"/>
    <w:lvl w:ilvl="0" w:tplc="0AF81E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484CD9"/>
    <w:multiLevelType w:val="hybridMultilevel"/>
    <w:tmpl w:val="CC9860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FA63ADD"/>
    <w:multiLevelType w:val="hybridMultilevel"/>
    <w:tmpl w:val="ED9E8F82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4">
    <w:nsid w:val="31816EBC"/>
    <w:multiLevelType w:val="hybridMultilevel"/>
    <w:tmpl w:val="C144D4D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3E45189D"/>
    <w:multiLevelType w:val="hybridMultilevel"/>
    <w:tmpl w:val="05725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E858E7"/>
    <w:multiLevelType w:val="hybridMultilevel"/>
    <w:tmpl w:val="BF082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5368BF"/>
    <w:multiLevelType w:val="hybridMultilevel"/>
    <w:tmpl w:val="440C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07A40F3"/>
    <w:multiLevelType w:val="hybridMultilevel"/>
    <w:tmpl w:val="DC346CDC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EC6A4B"/>
    <w:multiLevelType w:val="hybridMultilevel"/>
    <w:tmpl w:val="04F0A722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AC22AE1"/>
    <w:multiLevelType w:val="hybridMultilevel"/>
    <w:tmpl w:val="6E52B17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56AA7674"/>
    <w:multiLevelType w:val="hybridMultilevel"/>
    <w:tmpl w:val="8C3449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E9705B"/>
    <w:multiLevelType w:val="hybridMultilevel"/>
    <w:tmpl w:val="638AF9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A4A24FB"/>
    <w:multiLevelType w:val="hybridMultilevel"/>
    <w:tmpl w:val="FE12BE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E0D61A4"/>
    <w:multiLevelType w:val="hybridMultilevel"/>
    <w:tmpl w:val="8C3449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4760F9"/>
    <w:multiLevelType w:val="hybridMultilevel"/>
    <w:tmpl w:val="EC60A6E6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16064F5"/>
    <w:multiLevelType w:val="hybridMultilevel"/>
    <w:tmpl w:val="CA0A6042"/>
    <w:lvl w:ilvl="0" w:tplc="0409000F">
      <w:start w:val="1"/>
      <w:numFmt w:val="decimal"/>
      <w:lvlText w:val="%1."/>
      <w:lvlJc w:val="left"/>
      <w:pPr>
        <w:ind w:left="8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27">
    <w:nsid w:val="65CF742A"/>
    <w:multiLevelType w:val="hybridMultilevel"/>
    <w:tmpl w:val="A85A258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6FB7182"/>
    <w:multiLevelType w:val="hybridMultilevel"/>
    <w:tmpl w:val="91FACA4E"/>
    <w:lvl w:ilvl="0" w:tplc="53DA65C6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AB6370"/>
    <w:multiLevelType w:val="hybridMultilevel"/>
    <w:tmpl w:val="22BE2080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30">
    <w:nsid w:val="6C357D9D"/>
    <w:multiLevelType w:val="hybridMultilevel"/>
    <w:tmpl w:val="87DEF184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3AD0DED"/>
    <w:multiLevelType w:val="hybridMultilevel"/>
    <w:tmpl w:val="FF72768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>
    <w:nsid w:val="79383E94"/>
    <w:multiLevelType w:val="hybridMultilevel"/>
    <w:tmpl w:val="CDA6DE76"/>
    <w:lvl w:ilvl="0" w:tplc="E8325788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33">
    <w:nsid w:val="7C03612B"/>
    <w:multiLevelType w:val="hybridMultilevel"/>
    <w:tmpl w:val="D50A9D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9"/>
  </w:num>
  <w:num w:numId="5">
    <w:abstractNumId w:val="23"/>
  </w:num>
  <w:num w:numId="6">
    <w:abstractNumId w:val="6"/>
  </w:num>
  <w:num w:numId="7">
    <w:abstractNumId w:val="17"/>
  </w:num>
  <w:num w:numId="8">
    <w:abstractNumId w:val="19"/>
  </w:num>
  <w:num w:numId="9">
    <w:abstractNumId w:val="20"/>
  </w:num>
  <w:num w:numId="10">
    <w:abstractNumId w:val="3"/>
  </w:num>
  <w:num w:numId="11">
    <w:abstractNumId w:val="7"/>
  </w:num>
  <w:num w:numId="12">
    <w:abstractNumId w:val="33"/>
  </w:num>
  <w:num w:numId="13">
    <w:abstractNumId w:val="4"/>
  </w:num>
  <w:num w:numId="14">
    <w:abstractNumId w:val="22"/>
  </w:num>
  <w:num w:numId="15">
    <w:abstractNumId w:val="12"/>
  </w:num>
  <w:num w:numId="16">
    <w:abstractNumId w:val="31"/>
  </w:num>
  <w:num w:numId="17">
    <w:abstractNumId w:val="13"/>
  </w:num>
  <w:num w:numId="18">
    <w:abstractNumId w:val="9"/>
  </w:num>
  <w:num w:numId="19">
    <w:abstractNumId w:val="10"/>
  </w:num>
  <w:num w:numId="20">
    <w:abstractNumId w:val="25"/>
  </w:num>
  <w:num w:numId="21">
    <w:abstractNumId w:val="27"/>
  </w:num>
  <w:num w:numId="22">
    <w:abstractNumId w:val="18"/>
  </w:num>
  <w:num w:numId="23">
    <w:abstractNumId w:val="32"/>
  </w:num>
  <w:num w:numId="24">
    <w:abstractNumId w:val="1"/>
  </w:num>
  <w:num w:numId="25">
    <w:abstractNumId w:val="30"/>
  </w:num>
  <w:num w:numId="26">
    <w:abstractNumId w:val="8"/>
  </w:num>
  <w:num w:numId="27">
    <w:abstractNumId w:val="24"/>
  </w:num>
  <w:num w:numId="28">
    <w:abstractNumId w:val="14"/>
  </w:num>
  <w:num w:numId="29">
    <w:abstractNumId w:val="11"/>
  </w:num>
  <w:num w:numId="30">
    <w:abstractNumId w:val="16"/>
  </w:num>
  <w:num w:numId="31">
    <w:abstractNumId w:val="28"/>
  </w:num>
  <w:num w:numId="32">
    <w:abstractNumId w:val="21"/>
  </w:num>
  <w:num w:numId="33">
    <w:abstractNumId w:val="26"/>
  </w:num>
  <w:num w:numId="34">
    <w:abstractNumId w:val="1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1"/>
    <w:rsid w:val="0000533D"/>
    <w:rsid w:val="00017AD6"/>
    <w:rsid w:val="000327A8"/>
    <w:rsid w:val="00032A84"/>
    <w:rsid w:val="000417A7"/>
    <w:rsid w:val="0004206A"/>
    <w:rsid w:val="00057BAD"/>
    <w:rsid w:val="000705C6"/>
    <w:rsid w:val="000841D6"/>
    <w:rsid w:val="00093776"/>
    <w:rsid w:val="00096F70"/>
    <w:rsid w:val="00097928"/>
    <w:rsid w:val="000A3E05"/>
    <w:rsid w:val="000B5B65"/>
    <w:rsid w:val="000C7510"/>
    <w:rsid w:val="000D2835"/>
    <w:rsid w:val="000E1563"/>
    <w:rsid w:val="001037C9"/>
    <w:rsid w:val="001049E0"/>
    <w:rsid w:val="00105264"/>
    <w:rsid w:val="0011059B"/>
    <w:rsid w:val="001164B5"/>
    <w:rsid w:val="00136184"/>
    <w:rsid w:val="001365D2"/>
    <w:rsid w:val="001409C3"/>
    <w:rsid w:val="00150360"/>
    <w:rsid w:val="00153858"/>
    <w:rsid w:val="00154725"/>
    <w:rsid w:val="0015736A"/>
    <w:rsid w:val="00167294"/>
    <w:rsid w:val="00186FAA"/>
    <w:rsid w:val="001B36F2"/>
    <w:rsid w:val="001D43BC"/>
    <w:rsid w:val="001D6C93"/>
    <w:rsid w:val="001E4113"/>
    <w:rsid w:val="001E4D43"/>
    <w:rsid w:val="001E6F73"/>
    <w:rsid w:val="001E6F88"/>
    <w:rsid w:val="00211E09"/>
    <w:rsid w:val="00233E51"/>
    <w:rsid w:val="00235F72"/>
    <w:rsid w:val="00240B54"/>
    <w:rsid w:val="002420D6"/>
    <w:rsid w:val="00246966"/>
    <w:rsid w:val="0025164B"/>
    <w:rsid w:val="0027402D"/>
    <w:rsid w:val="00282AD9"/>
    <w:rsid w:val="002853C3"/>
    <w:rsid w:val="00285934"/>
    <w:rsid w:val="00287CEC"/>
    <w:rsid w:val="002A2CDB"/>
    <w:rsid w:val="002A3E0E"/>
    <w:rsid w:val="002A5273"/>
    <w:rsid w:val="002B6055"/>
    <w:rsid w:val="002C5626"/>
    <w:rsid w:val="0030181F"/>
    <w:rsid w:val="003025BF"/>
    <w:rsid w:val="003209F3"/>
    <w:rsid w:val="00320BE2"/>
    <w:rsid w:val="0033490E"/>
    <w:rsid w:val="00336369"/>
    <w:rsid w:val="00344761"/>
    <w:rsid w:val="0034599F"/>
    <w:rsid w:val="003577D0"/>
    <w:rsid w:val="003708D0"/>
    <w:rsid w:val="00394028"/>
    <w:rsid w:val="003A2236"/>
    <w:rsid w:val="003B53BF"/>
    <w:rsid w:val="003B56BC"/>
    <w:rsid w:val="003C0E64"/>
    <w:rsid w:val="003C54B8"/>
    <w:rsid w:val="003E19CE"/>
    <w:rsid w:val="003E1F47"/>
    <w:rsid w:val="00400BCB"/>
    <w:rsid w:val="00416206"/>
    <w:rsid w:val="00431A54"/>
    <w:rsid w:val="00446EB5"/>
    <w:rsid w:val="004559E9"/>
    <w:rsid w:val="00467483"/>
    <w:rsid w:val="0047128D"/>
    <w:rsid w:val="00491E85"/>
    <w:rsid w:val="00494B0B"/>
    <w:rsid w:val="004956BA"/>
    <w:rsid w:val="004A2826"/>
    <w:rsid w:val="004C2E70"/>
    <w:rsid w:val="004E3F8E"/>
    <w:rsid w:val="00525106"/>
    <w:rsid w:val="00541C57"/>
    <w:rsid w:val="00542A08"/>
    <w:rsid w:val="005441B0"/>
    <w:rsid w:val="00555A2F"/>
    <w:rsid w:val="00573145"/>
    <w:rsid w:val="0057706B"/>
    <w:rsid w:val="00586F62"/>
    <w:rsid w:val="0059009C"/>
    <w:rsid w:val="00594DDE"/>
    <w:rsid w:val="005D1DA6"/>
    <w:rsid w:val="00621754"/>
    <w:rsid w:val="006431A3"/>
    <w:rsid w:val="006448FD"/>
    <w:rsid w:val="00650041"/>
    <w:rsid w:val="00670780"/>
    <w:rsid w:val="006777C3"/>
    <w:rsid w:val="00692E10"/>
    <w:rsid w:val="006A13FC"/>
    <w:rsid w:val="006A674B"/>
    <w:rsid w:val="006B5E3C"/>
    <w:rsid w:val="006C10DB"/>
    <w:rsid w:val="006C1D0D"/>
    <w:rsid w:val="006C1F4B"/>
    <w:rsid w:val="006C234F"/>
    <w:rsid w:val="006C45B7"/>
    <w:rsid w:val="006C5843"/>
    <w:rsid w:val="006D4EE6"/>
    <w:rsid w:val="006F3C80"/>
    <w:rsid w:val="00701E62"/>
    <w:rsid w:val="00711D0C"/>
    <w:rsid w:val="00716EF9"/>
    <w:rsid w:val="007234B7"/>
    <w:rsid w:val="00746D6E"/>
    <w:rsid w:val="00747CC6"/>
    <w:rsid w:val="00774DA7"/>
    <w:rsid w:val="007765B3"/>
    <w:rsid w:val="00790EA3"/>
    <w:rsid w:val="00793049"/>
    <w:rsid w:val="007A358C"/>
    <w:rsid w:val="007B170F"/>
    <w:rsid w:val="007B1E92"/>
    <w:rsid w:val="007C3CE2"/>
    <w:rsid w:val="007D48EB"/>
    <w:rsid w:val="007E3579"/>
    <w:rsid w:val="007E367A"/>
    <w:rsid w:val="007E65D5"/>
    <w:rsid w:val="007F18FF"/>
    <w:rsid w:val="007F5278"/>
    <w:rsid w:val="0081007B"/>
    <w:rsid w:val="00820613"/>
    <w:rsid w:val="00846724"/>
    <w:rsid w:val="00871C9F"/>
    <w:rsid w:val="0088024A"/>
    <w:rsid w:val="008C4452"/>
    <w:rsid w:val="008C6698"/>
    <w:rsid w:val="008F1C63"/>
    <w:rsid w:val="00900DF0"/>
    <w:rsid w:val="00906275"/>
    <w:rsid w:val="009071F8"/>
    <w:rsid w:val="009424B6"/>
    <w:rsid w:val="00943722"/>
    <w:rsid w:val="009509CA"/>
    <w:rsid w:val="00963793"/>
    <w:rsid w:val="009828E9"/>
    <w:rsid w:val="00983D0B"/>
    <w:rsid w:val="00996A79"/>
    <w:rsid w:val="009A7741"/>
    <w:rsid w:val="009B4394"/>
    <w:rsid w:val="009B55CC"/>
    <w:rsid w:val="009C3837"/>
    <w:rsid w:val="009C71CB"/>
    <w:rsid w:val="009D0781"/>
    <w:rsid w:val="009F0BA6"/>
    <w:rsid w:val="009F7A0A"/>
    <w:rsid w:val="00A0525C"/>
    <w:rsid w:val="00A17684"/>
    <w:rsid w:val="00A17CDC"/>
    <w:rsid w:val="00A27030"/>
    <w:rsid w:val="00A30C4F"/>
    <w:rsid w:val="00A33080"/>
    <w:rsid w:val="00A4403B"/>
    <w:rsid w:val="00A546CC"/>
    <w:rsid w:val="00A56430"/>
    <w:rsid w:val="00A608A0"/>
    <w:rsid w:val="00A632BA"/>
    <w:rsid w:val="00A64165"/>
    <w:rsid w:val="00A84D58"/>
    <w:rsid w:val="00A84F35"/>
    <w:rsid w:val="00A854A8"/>
    <w:rsid w:val="00A91BA9"/>
    <w:rsid w:val="00A948FB"/>
    <w:rsid w:val="00AC5C4B"/>
    <w:rsid w:val="00AC679D"/>
    <w:rsid w:val="00AC6CDC"/>
    <w:rsid w:val="00AE1098"/>
    <w:rsid w:val="00AE173C"/>
    <w:rsid w:val="00AF3E85"/>
    <w:rsid w:val="00B14A48"/>
    <w:rsid w:val="00B21BD1"/>
    <w:rsid w:val="00B32C39"/>
    <w:rsid w:val="00B33A22"/>
    <w:rsid w:val="00B40E3E"/>
    <w:rsid w:val="00B45F1A"/>
    <w:rsid w:val="00B515DE"/>
    <w:rsid w:val="00B53292"/>
    <w:rsid w:val="00B57AEE"/>
    <w:rsid w:val="00B64D74"/>
    <w:rsid w:val="00B74E5C"/>
    <w:rsid w:val="00B80624"/>
    <w:rsid w:val="00B82B7C"/>
    <w:rsid w:val="00B901E8"/>
    <w:rsid w:val="00B90899"/>
    <w:rsid w:val="00B9319A"/>
    <w:rsid w:val="00BB1930"/>
    <w:rsid w:val="00BB2431"/>
    <w:rsid w:val="00BB77E5"/>
    <w:rsid w:val="00BE5D4D"/>
    <w:rsid w:val="00BE7D96"/>
    <w:rsid w:val="00BF19E2"/>
    <w:rsid w:val="00C02512"/>
    <w:rsid w:val="00C07109"/>
    <w:rsid w:val="00C0737A"/>
    <w:rsid w:val="00C109F4"/>
    <w:rsid w:val="00C11F15"/>
    <w:rsid w:val="00C1455D"/>
    <w:rsid w:val="00C14BC0"/>
    <w:rsid w:val="00C1684D"/>
    <w:rsid w:val="00C46FE1"/>
    <w:rsid w:val="00C5326B"/>
    <w:rsid w:val="00C62945"/>
    <w:rsid w:val="00C6464D"/>
    <w:rsid w:val="00C675DC"/>
    <w:rsid w:val="00C859E3"/>
    <w:rsid w:val="00CA3983"/>
    <w:rsid w:val="00CB72D5"/>
    <w:rsid w:val="00CC2966"/>
    <w:rsid w:val="00CC5516"/>
    <w:rsid w:val="00CC5CDA"/>
    <w:rsid w:val="00CD3091"/>
    <w:rsid w:val="00D036AF"/>
    <w:rsid w:val="00D14FD7"/>
    <w:rsid w:val="00D16650"/>
    <w:rsid w:val="00D1677B"/>
    <w:rsid w:val="00D31502"/>
    <w:rsid w:val="00D35CA0"/>
    <w:rsid w:val="00D61A54"/>
    <w:rsid w:val="00D7317D"/>
    <w:rsid w:val="00D751DC"/>
    <w:rsid w:val="00D81E61"/>
    <w:rsid w:val="00D91ABB"/>
    <w:rsid w:val="00D955C7"/>
    <w:rsid w:val="00DB0099"/>
    <w:rsid w:val="00DB5B5F"/>
    <w:rsid w:val="00DD0BF4"/>
    <w:rsid w:val="00E00E2D"/>
    <w:rsid w:val="00E033CE"/>
    <w:rsid w:val="00E03565"/>
    <w:rsid w:val="00E21A89"/>
    <w:rsid w:val="00E53CAC"/>
    <w:rsid w:val="00E54C21"/>
    <w:rsid w:val="00E62ECE"/>
    <w:rsid w:val="00E74E4C"/>
    <w:rsid w:val="00EA06DF"/>
    <w:rsid w:val="00EA39AB"/>
    <w:rsid w:val="00ED2F93"/>
    <w:rsid w:val="00ED412A"/>
    <w:rsid w:val="00EE3CB2"/>
    <w:rsid w:val="00EF17EF"/>
    <w:rsid w:val="00F01E23"/>
    <w:rsid w:val="00F12DD3"/>
    <w:rsid w:val="00F209FF"/>
    <w:rsid w:val="00F21086"/>
    <w:rsid w:val="00F2152A"/>
    <w:rsid w:val="00F37403"/>
    <w:rsid w:val="00F86DA7"/>
    <w:rsid w:val="00FC31EB"/>
    <w:rsid w:val="00FD4F53"/>
    <w:rsid w:val="00FE0968"/>
    <w:rsid w:val="00FE5CB0"/>
    <w:rsid w:val="00FF2772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67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675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67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675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85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429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03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8475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0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20400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777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880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4359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9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2769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711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da.gov.tw/MLMS/(S(4yisb3ff5nqfx555dtqalnea))/H0001D.aspx?Type=Lic&amp;LicId=01047570" TargetMode="External"/><Relationship Id="rId18" Type="http://schemas.openxmlformats.org/officeDocument/2006/relationships/image" Target="media/image5.wmf"/><Relationship Id="rId26" Type="http://schemas.openxmlformats.org/officeDocument/2006/relationships/control" Target="activeX/activeX8.xml"/><Relationship Id="rId39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2.wmf"/><Relationship Id="rId42" Type="http://schemas.openxmlformats.org/officeDocument/2006/relationships/control" Target="activeX/activeX15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image" Target="media/image8.wmf"/><Relationship Id="rId33" Type="http://schemas.openxmlformats.org/officeDocument/2006/relationships/control" Target="activeX/activeX11.xml"/><Relationship Id="rId38" Type="http://schemas.openxmlformats.org/officeDocument/2006/relationships/image" Target="media/image14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image" Target="media/image11.wmf"/><Relationship Id="rId37" Type="http://schemas.openxmlformats.org/officeDocument/2006/relationships/control" Target="activeX/activeX13.xml"/><Relationship Id="rId40" Type="http://schemas.openxmlformats.org/officeDocument/2006/relationships/hyperlink" Target="http://www.fda.gov.tw/MLMS/(S(4yisb3ff5nqfx555dtqalnea))/H0001D.aspx?Type=Lic&amp;LicId=02018310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image" Target="media/image13.wmf"/><Relationship Id="rId10" Type="http://schemas.openxmlformats.org/officeDocument/2006/relationships/control" Target="activeX/activeX1.xml"/><Relationship Id="rId19" Type="http://schemas.openxmlformats.org/officeDocument/2006/relationships/control" Target="activeX/activeX5.xml"/><Relationship Id="rId31" Type="http://schemas.openxmlformats.org/officeDocument/2006/relationships/hyperlink" Target="http://www.fda.gov.tw/MLMS/(S(4yisb3ff5nqfx555dtqalnea))/H0001D.aspx?Type=Lic&amp;LicId=01057356" TargetMode="External"/><Relationship Id="rId44" Type="http://schemas.openxmlformats.org/officeDocument/2006/relationships/control" Target="activeX/activeX1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hyperlink" Target="http://www.fda.gov.tw/MLMS/(S(4yisb3ff5nqfx555dtqalnea))/H0001D.aspx?Type=Lic&amp;LicId=01051195" TargetMode="Externa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control" Target="activeX/activeX12.xml"/><Relationship Id="rId43" Type="http://schemas.openxmlformats.org/officeDocument/2006/relationships/image" Target="media/image1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1371-1AB3-425E-A9CE-E716A571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64</TotalTime>
  <Pages>9</Pages>
  <Words>4032</Words>
  <Characters>4736</Characters>
  <Application>Microsoft Office Word</Application>
  <DocSecurity>0</DocSecurity>
  <Lines>39</Lines>
  <Paragraphs>17</Paragraphs>
  <ScaleCrop>false</ScaleCrop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吳幸樺</cp:lastModifiedBy>
  <cp:revision>7</cp:revision>
  <cp:lastPrinted>2013-07-29T07:25:00Z</cp:lastPrinted>
  <dcterms:created xsi:type="dcterms:W3CDTF">2013-07-26T03:40:00Z</dcterms:created>
  <dcterms:modified xsi:type="dcterms:W3CDTF">2013-08-02T01:09:00Z</dcterms:modified>
</cp:coreProperties>
</file>