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4E" w:rsidRPr="00A87083" w:rsidRDefault="00A87083" w:rsidP="00A87083">
      <w:pPr>
        <w:adjustRightInd w:val="0"/>
        <w:snapToGrid w:val="0"/>
        <w:rPr>
          <w:rFonts w:ascii="Times New Roman" w:hAnsi="Times New Roman" w:cs="Times New Roman"/>
          <w:b/>
          <w:sz w:val="36"/>
          <w:szCs w:val="36"/>
        </w:rPr>
      </w:pPr>
      <w:r w:rsidRPr="00A87083">
        <w:rPr>
          <w:rFonts w:ascii="Times New Roman" w:hAnsi="Times New Roman" w:cs="Times New Roman"/>
          <w:b/>
          <w:sz w:val="36"/>
          <w:szCs w:val="36"/>
        </w:rPr>
        <w:t>Standards for Sanitation and Pesticide Residue Limits in Infant Foods</w:t>
      </w:r>
    </w:p>
    <w:p w:rsidR="00A87083" w:rsidRPr="00A87083" w:rsidRDefault="00A87083" w:rsidP="00A87083">
      <w:pPr>
        <w:adjustRightInd w:val="0"/>
        <w:snapToGrid w:val="0"/>
        <w:rPr>
          <w:rFonts w:ascii="Times New Roman" w:hAnsi="Times New Roman" w:cs="Times New Roman"/>
          <w:sz w:val="32"/>
          <w:szCs w:val="32"/>
        </w:rPr>
      </w:pPr>
    </w:p>
    <w:p w:rsidR="00A87083" w:rsidRPr="00A87083" w:rsidRDefault="00A87083" w:rsidP="00A87083">
      <w:pPr>
        <w:adjustRightInd w:val="0"/>
        <w:snapToGrid w:val="0"/>
        <w:rPr>
          <w:rFonts w:ascii="Times New Roman" w:hAnsi="Times New Roman" w:cs="Times New Roman"/>
          <w:b/>
          <w:sz w:val="32"/>
          <w:szCs w:val="32"/>
        </w:rPr>
      </w:pPr>
      <w:r w:rsidRPr="00A87083">
        <w:rPr>
          <w:rFonts w:ascii="Times New Roman" w:hAnsi="Times New Roman" w:cs="Times New Roman"/>
          <w:b/>
          <w:sz w:val="32"/>
          <w:szCs w:val="32"/>
        </w:rPr>
        <w:t>(Date:</w:t>
      </w:r>
      <w:r w:rsidR="00A93B36">
        <w:rPr>
          <w:rFonts w:ascii="Times New Roman" w:hAnsi="Times New Roman" w:cs="Times New Roman" w:hint="eastAsia"/>
          <w:b/>
          <w:sz w:val="32"/>
          <w:szCs w:val="32"/>
        </w:rPr>
        <w:t xml:space="preserve"> </w:t>
      </w:r>
      <w:bookmarkStart w:id="0" w:name="_GoBack"/>
      <w:bookmarkEnd w:id="0"/>
      <w:r w:rsidRPr="00A87083">
        <w:rPr>
          <w:rFonts w:ascii="Times New Roman" w:hAnsi="Times New Roman" w:cs="Times New Roman"/>
          <w:b/>
          <w:sz w:val="32"/>
          <w:szCs w:val="32"/>
        </w:rPr>
        <w:t>2014-07-15)</w:t>
      </w:r>
    </w:p>
    <w:p w:rsidR="00A87083" w:rsidRPr="00A87083" w:rsidRDefault="00A87083" w:rsidP="00A87083">
      <w:pPr>
        <w:adjustRightInd w:val="0"/>
        <w:snapToGrid w:val="0"/>
        <w:rPr>
          <w:rFonts w:ascii="Times New Roman" w:hAnsi="Times New Roman" w:cs="Times New Roman"/>
          <w:sz w:val="32"/>
          <w:szCs w:val="32"/>
        </w:rPr>
      </w:pPr>
    </w:p>
    <w:p w:rsidR="00A87083" w:rsidRP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r w:rsidRPr="00A87083">
        <w:rPr>
          <w:rFonts w:ascii="Times New Roman" w:eastAsia="新細明體" w:hAnsi="Times New Roman" w:cs="Times New Roman"/>
          <w:color w:val="333333"/>
          <w:kern w:val="0"/>
          <w:sz w:val="32"/>
          <w:szCs w:val="32"/>
        </w:rPr>
        <w:t xml:space="preserve">Article 1   </w:t>
      </w:r>
      <w:r>
        <w:rPr>
          <w:rFonts w:ascii="Times New Roman" w:eastAsia="新細明體" w:hAnsi="Times New Roman" w:cs="Times New Roman" w:hint="eastAsia"/>
          <w:color w:val="333333"/>
          <w:kern w:val="0"/>
          <w:sz w:val="32"/>
          <w:szCs w:val="32"/>
        </w:rPr>
        <w:tab/>
      </w:r>
      <w:r w:rsidRPr="00A87083">
        <w:rPr>
          <w:rFonts w:ascii="Times New Roman" w:eastAsia="新細明體" w:hAnsi="Times New Roman" w:cs="Times New Roman"/>
          <w:color w:val="333333"/>
          <w:kern w:val="0"/>
          <w:sz w:val="32"/>
          <w:szCs w:val="32"/>
        </w:rPr>
        <w:t xml:space="preserve">This Standard is prescribed in accordance with the provisions of Article 17 and the second paragraph of Article 15 of the Act Governing Food Safety and Sanitation (herein referred to as "this Act"). </w:t>
      </w:r>
    </w:p>
    <w:p w:rsidR="00A87083" w:rsidRPr="00A87083" w:rsidRDefault="00A87083" w:rsidP="00A87083">
      <w:pPr>
        <w:widowControl/>
        <w:adjustRightInd w:val="0"/>
        <w:snapToGrid w:val="0"/>
        <w:spacing w:before="100" w:beforeAutospacing="1" w:after="100" w:afterAutospacing="1"/>
        <w:ind w:leftChars="767" w:left="1841"/>
        <w:rPr>
          <w:rFonts w:ascii="Times New Roman" w:eastAsia="新細明體" w:hAnsi="Times New Roman" w:cs="Times New Roman"/>
          <w:color w:val="333333"/>
          <w:kern w:val="0"/>
          <w:sz w:val="32"/>
          <w:szCs w:val="32"/>
        </w:rPr>
      </w:pPr>
    </w:p>
    <w:p w:rsid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r w:rsidRPr="00A87083">
        <w:rPr>
          <w:rFonts w:ascii="Times New Roman" w:eastAsia="新細明體" w:hAnsi="Times New Roman" w:cs="Times New Roman"/>
          <w:color w:val="333333"/>
          <w:kern w:val="0"/>
          <w:sz w:val="32"/>
          <w:szCs w:val="32"/>
        </w:rPr>
        <w:t xml:space="preserve">Article 2   </w:t>
      </w:r>
      <w:r>
        <w:rPr>
          <w:rFonts w:ascii="Times New Roman" w:eastAsia="新細明體" w:hAnsi="Times New Roman" w:cs="Times New Roman" w:hint="eastAsia"/>
          <w:color w:val="333333"/>
          <w:kern w:val="0"/>
          <w:sz w:val="32"/>
          <w:szCs w:val="32"/>
        </w:rPr>
        <w:tab/>
      </w:r>
      <w:r w:rsidRPr="00A87083">
        <w:rPr>
          <w:rFonts w:ascii="Times New Roman" w:eastAsia="新細明體" w:hAnsi="Times New Roman" w:cs="Times New Roman"/>
          <w:color w:val="333333"/>
          <w:kern w:val="0"/>
          <w:sz w:val="32"/>
          <w:szCs w:val="32"/>
        </w:rPr>
        <w:t xml:space="preserve">This standard applies to powdered or liquid formula for infants not more than 12 months of age, intended to supplement breast milk. And the follow-up infant formula manufactured primarily from the edible components of cereals and legumes which should constitute at least 25% of the final mixture on a dry weight basis. </w:t>
      </w:r>
    </w:p>
    <w:p w:rsidR="00A87083" w:rsidRP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p>
    <w:p w:rsid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r w:rsidRPr="00A87083">
        <w:rPr>
          <w:rFonts w:ascii="Times New Roman" w:eastAsia="新細明體" w:hAnsi="Times New Roman" w:cs="Times New Roman"/>
          <w:color w:val="333333"/>
          <w:kern w:val="0"/>
          <w:sz w:val="32"/>
          <w:szCs w:val="32"/>
        </w:rPr>
        <w:t xml:space="preserve">Article 3   </w:t>
      </w:r>
      <w:r>
        <w:rPr>
          <w:rFonts w:ascii="Times New Roman" w:eastAsia="新細明體" w:hAnsi="Times New Roman" w:cs="Times New Roman" w:hint="eastAsia"/>
          <w:color w:val="333333"/>
          <w:kern w:val="0"/>
          <w:sz w:val="32"/>
          <w:szCs w:val="32"/>
        </w:rPr>
        <w:tab/>
      </w:r>
      <w:r w:rsidRPr="00A87083">
        <w:rPr>
          <w:rFonts w:ascii="Times New Roman" w:eastAsia="新細明體" w:hAnsi="Times New Roman" w:cs="Times New Roman"/>
          <w:color w:val="333333"/>
          <w:kern w:val="0"/>
          <w:sz w:val="32"/>
          <w:szCs w:val="32"/>
        </w:rPr>
        <w:t xml:space="preserve">The infant foods shall have their original pleasant flavor and color. No putridity, discoloration, off odor or flavor, contamination, </w:t>
      </w:r>
      <w:proofErr w:type="spellStart"/>
      <w:r w:rsidRPr="00A87083">
        <w:rPr>
          <w:rFonts w:ascii="Times New Roman" w:eastAsia="新細明體" w:hAnsi="Times New Roman" w:cs="Times New Roman"/>
          <w:color w:val="333333"/>
          <w:kern w:val="0"/>
          <w:sz w:val="32"/>
          <w:szCs w:val="32"/>
        </w:rPr>
        <w:t>moulds</w:t>
      </w:r>
      <w:proofErr w:type="spellEnd"/>
      <w:r w:rsidRPr="00A87083">
        <w:rPr>
          <w:rFonts w:ascii="Times New Roman" w:eastAsia="新細明體" w:hAnsi="Times New Roman" w:cs="Times New Roman"/>
          <w:color w:val="333333"/>
          <w:kern w:val="0"/>
          <w:sz w:val="32"/>
          <w:szCs w:val="32"/>
        </w:rPr>
        <w:t xml:space="preserve">, foreign matter or parasite shall be found. </w:t>
      </w:r>
    </w:p>
    <w:p w:rsidR="00A87083" w:rsidRP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p>
    <w:p w:rsidR="00A87083" w:rsidRP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r w:rsidRPr="00A87083">
        <w:rPr>
          <w:rFonts w:ascii="Times New Roman" w:eastAsia="新細明體" w:hAnsi="Times New Roman" w:cs="Times New Roman"/>
          <w:color w:val="333333"/>
          <w:kern w:val="0"/>
          <w:sz w:val="32"/>
          <w:szCs w:val="32"/>
        </w:rPr>
        <w:t xml:space="preserve">Article 4   </w:t>
      </w:r>
      <w:r>
        <w:rPr>
          <w:rFonts w:ascii="Times New Roman" w:eastAsia="新細明體" w:hAnsi="Times New Roman" w:cs="Times New Roman" w:hint="eastAsia"/>
          <w:color w:val="333333"/>
          <w:kern w:val="0"/>
          <w:sz w:val="32"/>
          <w:szCs w:val="32"/>
        </w:rPr>
        <w:tab/>
      </w:r>
      <w:r w:rsidRPr="00A87083">
        <w:rPr>
          <w:rFonts w:ascii="Times New Roman" w:eastAsia="新細明體" w:hAnsi="Times New Roman" w:cs="Times New Roman"/>
          <w:color w:val="333333"/>
          <w:kern w:val="0"/>
          <w:sz w:val="32"/>
          <w:szCs w:val="32"/>
        </w:rPr>
        <w:t>The maximum level of microorganism:</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7"/>
        <w:gridCol w:w="810"/>
        <w:gridCol w:w="705"/>
        <w:gridCol w:w="719"/>
        <w:gridCol w:w="712"/>
        <w:gridCol w:w="3119"/>
      </w:tblGrid>
      <w:tr w:rsidR="00A87083" w:rsidRPr="00A87083">
        <w:trPr>
          <w:jc w:val="center"/>
        </w:trPr>
        <w:tc>
          <w:tcPr>
            <w:tcW w:w="2171" w:type="dxa"/>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 xml:space="preserve">Microorganisms </w:t>
            </w:r>
          </w:p>
        </w:tc>
        <w:tc>
          <w:tcPr>
            <w:tcW w:w="1390"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Sampling plan</w:t>
            </w:r>
            <w:r w:rsidRPr="00A87083">
              <w:rPr>
                <w:rFonts w:ascii="Times New Roman" w:eastAsia="新細明體" w:hAnsi="Times New Roman" w:cs="Times New Roman"/>
                <w:b/>
                <w:bCs/>
                <w:kern w:val="0"/>
                <w:sz w:val="32"/>
                <w:szCs w:val="32"/>
                <w:vertAlign w:val="superscript"/>
              </w:rPr>
              <w:t>(1)</w:t>
            </w:r>
            <w:r w:rsidRPr="00A87083">
              <w:rPr>
                <w:rFonts w:ascii="Times New Roman" w:eastAsia="新細明體" w:hAnsi="Times New Roman" w:cs="Times New Roman"/>
                <w:b/>
                <w:bCs/>
                <w:kern w:val="0"/>
                <w:sz w:val="32"/>
                <w:szCs w:val="32"/>
              </w:rPr>
              <w:t xml:space="preserve"> </w:t>
            </w:r>
          </w:p>
        </w:tc>
        <w:tc>
          <w:tcPr>
            <w:tcW w:w="1440"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Limits</w:t>
            </w:r>
            <w:r w:rsidRPr="00A87083">
              <w:rPr>
                <w:rFonts w:ascii="Times New Roman" w:eastAsia="新細明體" w:hAnsi="Times New Roman" w:cs="Times New Roman"/>
                <w:b/>
                <w:bCs/>
                <w:kern w:val="0"/>
                <w:sz w:val="32"/>
                <w:szCs w:val="32"/>
                <w:vertAlign w:val="superscript"/>
              </w:rPr>
              <w:t>(2)</w:t>
            </w:r>
            <w:r w:rsidRPr="00A87083">
              <w:rPr>
                <w:rFonts w:ascii="Times New Roman" w:eastAsia="新細明體" w:hAnsi="Times New Roman" w:cs="Times New Roman"/>
                <w:b/>
                <w:bCs/>
                <w:kern w:val="0"/>
                <w:sz w:val="32"/>
                <w:szCs w:val="32"/>
              </w:rPr>
              <w:t xml:space="preserve"> </w:t>
            </w:r>
          </w:p>
        </w:tc>
        <w:tc>
          <w:tcPr>
            <w:tcW w:w="3240"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 xml:space="preserve">Remark </w:t>
            </w:r>
          </w:p>
        </w:tc>
      </w:tr>
      <w:tr w:rsidR="00A87083" w:rsidRPr="00A870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7083" w:rsidRPr="00A87083" w:rsidRDefault="00A87083" w:rsidP="00A87083">
            <w:pPr>
              <w:widowControl/>
              <w:adjustRightInd w:val="0"/>
              <w:snapToGrid w:val="0"/>
              <w:rPr>
                <w:rFonts w:ascii="Times New Roman" w:eastAsia="新細明體" w:hAnsi="Times New Roman" w:cs="Times New Roman"/>
                <w:kern w:val="0"/>
                <w:sz w:val="32"/>
                <w:szCs w:val="32"/>
              </w:rPr>
            </w:pPr>
          </w:p>
        </w:tc>
        <w:tc>
          <w:tcPr>
            <w:tcW w:w="69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n</w:t>
            </w:r>
          </w:p>
        </w:tc>
        <w:tc>
          <w:tcPr>
            <w:tcW w:w="69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c</w:t>
            </w:r>
          </w:p>
        </w:tc>
        <w:tc>
          <w:tcPr>
            <w:tcW w:w="72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m</w:t>
            </w:r>
          </w:p>
        </w:tc>
        <w:tc>
          <w:tcPr>
            <w:tcW w:w="72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M</w:t>
            </w:r>
          </w:p>
        </w:tc>
        <w:tc>
          <w:tcPr>
            <w:tcW w:w="0" w:type="auto"/>
            <w:vMerge/>
            <w:tcBorders>
              <w:top w:val="single" w:sz="8" w:space="0" w:color="auto"/>
              <w:left w:val="nil"/>
              <w:bottom w:val="single" w:sz="8" w:space="0" w:color="auto"/>
              <w:right w:val="single" w:sz="8" w:space="0" w:color="auto"/>
            </w:tcBorders>
            <w:vAlign w:val="center"/>
            <w:hideMark/>
          </w:tcPr>
          <w:p w:rsidR="00A87083" w:rsidRPr="00A87083" w:rsidRDefault="00A87083" w:rsidP="00A87083">
            <w:pPr>
              <w:widowControl/>
              <w:adjustRightInd w:val="0"/>
              <w:snapToGrid w:val="0"/>
              <w:rPr>
                <w:rFonts w:ascii="Times New Roman" w:eastAsia="新細明體" w:hAnsi="Times New Roman" w:cs="Times New Roman"/>
                <w:kern w:val="0"/>
                <w:sz w:val="32"/>
                <w:szCs w:val="32"/>
              </w:rPr>
            </w:pPr>
          </w:p>
        </w:tc>
      </w:tr>
      <w:tr w:rsidR="00A87083" w:rsidRPr="00A87083">
        <w:trPr>
          <w:jc w:val="center"/>
        </w:trPr>
        <w:tc>
          <w:tcPr>
            <w:tcW w:w="21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i/>
                <w:iCs/>
                <w:kern w:val="0"/>
                <w:sz w:val="32"/>
                <w:szCs w:val="32"/>
              </w:rPr>
              <w:t>Coliform</w:t>
            </w:r>
          </w:p>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(MPN/g)</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5</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2</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vertAlign w:val="superscript"/>
              </w:rPr>
              <w:t>(3)</w:t>
            </w:r>
          </w:p>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標楷體" w:hAnsi="Times New Roman" w:cs="Times New Roman"/>
                <w:kern w:val="0"/>
                <w:sz w:val="32"/>
                <w:szCs w:val="32"/>
              </w:rPr>
              <w:t>＜</w:t>
            </w:r>
            <w:r w:rsidRPr="00A87083">
              <w:rPr>
                <w:rFonts w:ascii="Times New Roman" w:eastAsia="新細明體" w:hAnsi="Times New Roman" w:cs="Times New Roman"/>
                <w:kern w:val="0"/>
                <w:sz w:val="32"/>
                <w:szCs w:val="32"/>
              </w:rPr>
              <w:t>3</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10</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 xml:space="preserve">The detected results allowable between m and M from </w:t>
            </w:r>
            <w:proofErr w:type="gramStart"/>
            <w:r w:rsidRPr="00A87083">
              <w:rPr>
                <w:rFonts w:ascii="新細明體" w:eastAsia="新細明體" w:hAnsi="新細明體" w:cs="新細明體" w:hint="eastAsia"/>
                <w:kern w:val="0"/>
                <w:sz w:val="32"/>
                <w:szCs w:val="32"/>
              </w:rPr>
              <w:t>≦</w:t>
            </w:r>
            <w:proofErr w:type="gramEnd"/>
            <w:r w:rsidRPr="00A87083">
              <w:rPr>
                <w:rFonts w:ascii="Times New Roman" w:eastAsia="新細明體" w:hAnsi="Times New Roman" w:cs="Times New Roman"/>
                <w:kern w:val="0"/>
                <w:sz w:val="32"/>
                <w:szCs w:val="32"/>
              </w:rPr>
              <w:t xml:space="preserve"> c sample quantity. </w:t>
            </w:r>
            <w:r w:rsidRPr="00A87083">
              <w:rPr>
                <w:rFonts w:ascii="Times New Roman" w:eastAsia="新細明體" w:hAnsi="Times New Roman" w:cs="Times New Roman"/>
                <w:kern w:val="0"/>
                <w:sz w:val="32"/>
                <w:szCs w:val="32"/>
              </w:rPr>
              <w:lastRenderedPageBreak/>
              <w:t xml:space="preserve">Unacceptable </w:t>
            </w:r>
            <w:proofErr w:type="gramStart"/>
            <w:r w:rsidRPr="00A87083">
              <w:rPr>
                <w:rFonts w:ascii="新細明體" w:eastAsia="新細明體" w:hAnsi="新細明體" w:cs="新細明體" w:hint="eastAsia"/>
                <w:kern w:val="0"/>
                <w:sz w:val="32"/>
                <w:szCs w:val="32"/>
              </w:rPr>
              <w:t>≧</w:t>
            </w:r>
            <w:proofErr w:type="gramEnd"/>
            <w:r w:rsidRPr="00A87083">
              <w:rPr>
                <w:rFonts w:ascii="Times New Roman" w:eastAsia="新細明體" w:hAnsi="Times New Roman" w:cs="Times New Roman"/>
                <w:kern w:val="0"/>
                <w:sz w:val="32"/>
                <w:szCs w:val="32"/>
              </w:rPr>
              <w:t xml:space="preserve">M. </w:t>
            </w:r>
          </w:p>
        </w:tc>
      </w:tr>
      <w:tr w:rsidR="00A87083" w:rsidRPr="00A87083">
        <w:trPr>
          <w:jc w:val="center"/>
        </w:trPr>
        <w:tc>
          <w:tcPr>
            <w:tcW w:w="21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i/>
                <w:iCs/>
                <w:kern w:val="0"/>
                <w:sz w:val="32"/>
                <w:szCs w:val="32"/>
              </w:rPr>
              <w:lastRenderedPageBreak/>
              <w:t xml:space="preserve">Enterobacter </w:t>
            </w:r>
            <w:proofErr w:type="spellStart"/>
            <w:r w:rsidRPr="00A87083">
              <w:rPr>
                <w:rFonts w:ascii="Times New Roman" w:eastAsia="新細明體" w:hAnsi="Times New Roman" w:cs="Times New Roman"/>
                <w:i/>
                <w:iCs/>
                <w:kern w:val="0"/>
                <w:sz w:val="32"/>
                <w:szCs w:val="32"/>
              </w:rPr>
              <w:t>sakazakii</w:t>
            </w:r>
            <w:proofErr w:type="spellEnd"/>
            <w:r w:rsidRPr="00A87083">
              <w:rPr>
                <w:rFonts w:ascii="Times New Roman" w:eastAsia="新細明體" w:hAnsi="Times New Roman" w:cs="Times New Roman"/>
                <w:kern w:val="0"/>
                <w:sz w:val="32"/>
                <w:szCs w:val="32"/>
              </w:rPr>
              <w:t xml:space="preserve"> </w:t>
            </w:r>
            <w:r w:rsidRPr="00A87083">
              <w:rPr>
                <w:rFonts w:ascii="Times New Roman" w:eastAsia="新細明體" w:hAnsi="Times New Roman" w:cs="Times New Roman"/>
                <w:i/>
                <w:iCs/>
                <w:kern w:val="0"/>
                <w:sz w:val="32"/>
                <w:szCs w:val="32"/>
              </w:rPr>
              <w:t>(</w:t>
            </w:r>
            <w:proofErr w:type="spellStart"/>
            <w:r w:rsidRPr="00A87083">
              <w:rPr>
                <w:rFonts w:ascii="Times New Roman" w:eastAsia="新細明體" w:hAnsi="Times New Roman" w:cs="Times New Roman"/>
                <w:i/>
                <w:iCs/>
                <w:kern w:val="0"/>
                <w:sz w:val="32"/>
                <w:szCs w:val="32"/>
              </w:rPr>
              <w:t>Cronobacter</w:t>
            </w:r>
            <w:proofErr w:type="spellEnd"/>
            <w:r w:rsidRPr="00A87083">
              <w:rPr>
                <w:rFonts w:ascii="Times New Roman" w:eastAsia="新細明體" w:hAnsi="Times New Roman" w:cs="Times New Roman"/>
                <w:i/>
                <w:iCs/>
                <w:kern w:val="0"/>
                <w:sz w:val="32"/>
                <w:szCs w:val="32"/>
              </w:rPr>
              <w:t xml:space="preserve"> species)</w:t>
            </w:r>
            <w:r w:rsidRPr="00A87083">
              <w:rPr>
                <w:rFonts w:ascii="Times New Roman" w:eastAsia="新細明體" w:hAnsi="Times New Roman" w:cs="Times New Roman"/>
                <w:kern w:val="0"/>
                <w:sz w:val="32"/>
                <w:szCs w:val="32"/>
              </w:rPr>
              <w:t xml:space="preserve"> </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10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Apply to powdered infant formula.</w:t>
            </w:r>
          </w:p>
        </w:tc>
      </w:tr>
      <w:tr w:rsidR="00A87083" w:rsidRPr="00A87083">
        <w:trPr>
          <w:jc w:val="center"/>
        </w:trPr>
        <w:tc>
          <w:tcPr>
            <w:tcW w:w="21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i/>
                <w:iCs/>
                <w:kern w:val="0"/>
                <w:sz w:val="32"/>
                <w:szCs w:val="32"/>
              </w:rPr>
              <w:t xml:space="preserve">Salmonella </w:t>
            </w:r>
            <w:r w:rsidRPr="00A87083">
              <w:rPr>
                <w:rFonts w:ascii="Times New Roman" w:eastAsia="新細明體" w:hAnsi="Times New Roman" w:cs="Times New Roman"/>
                <w:kern w:val="0"/>
                <w:sz w:val="32"/>
                <w:szCs w:val="32"/>
              </w:rPr>
              <w:t>spp.</w:t>
            </w:r>
            <w:r w:rsidRPr="00A87083">
              <w:rPr>
                <w:rFonts w:ascii="Times New Roman" w:eastAsia="新細明體" w:hAnsi="Times New Roman" w:cs="Times New Roman"/>
                <w:i/>
                <w:iCs/>
                <w:kern w:val="0"/>
                <w:sz w:val="32"/>
                <w:szCs w:val="32"/>
              </w:rPr>
              <w:t xml:space="preserve"> </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10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 </w:t>
            </w:r>
          </w:p>
        </w:tc>
      </w:tr>
      <w:tr w:rsidR="00A87083" w:rsidRPr="00A87083">
        <w:trPr>
          <w:jc w:val="center"/>
        </w:trPr>
        <w:tc>
          <w:tcPr>
            <w:tcW w:w="21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i/>
                <w:iCs/>
                <w:kern w:val="0"/>
                <w:sz w:val="32"/>
                <w:szCs w:val="32"/>
              </w:rPr>
              <w:t xml:space="preserve">Listeria monocytogenes </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10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 </w:t>
            </w:r>
          </w:p>
        </w:tc>
      </w:tr>
      <w:tr w:rsidR="00A87083" w:rsidRPr="00A87083">
        <w:trPr>
          <w:jc w:val="center"/>
        </w:trPr>
        <w:tc>
          <w:tcPr>
            <w:tcW w:w="8241"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vertAlign w:val="superscript"/>
              </w:rPr>
              <w:t xml:space="preserve">(1) </w:t>
            </w:r>
            <w:proofErr w:type="gramStart"/>
            <w:r w:rsidRPr="00A87083">
              <w:rPr>
                <w:rFonts w:ascii="Times New Roman" w:eastAsia="新細明體" w:hAnsi="Times New Roman" w:cs="Times New Roman"/>
                <w:kern w:val="0"/>
                <w:sz w:val="32"/>
                <w:szCs w:val="32"/>
              </w:rPr>
              <w:t>n</w:t>
            </w:r>
            <w:proofErr w:type="gramEnd"/>
            <w:r w:rsidRPr="00A87083">
              <w:rPr>
                <w:rFonts w:ascii="Times New Roman" w:eastAsia="新細明體" w:hAnsi="Times New Roman" w:cs="Times New Roman"/>
                <w:kern w:val="0"/>
                <w:sz w:val="32"/>
                <w:szCs w:val="32"/>
              </w:rPr>
              <w:t xml:space="preserve"> = number of units comprising the sample.</w:t>
            </w:r>
          </w:p>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c = maximum allowable number of sample units yielding results between m and M (marginally acceptable).</w:t>
            </w:r>
          </w:p>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vertAlign w:val="superscript"/>
              </w:rPr>
              <w:t>(2</w:t>
            </w:r>
            <w:proofErr w:type="gramStart"/>
            <w:r w:rsidRPr="00A87083">
              <w:rPr>
                <w:rFonts w:ascii="Times New Roman" w:eastAsia="新細明體" w:hAnsi="Times New Roman" w:cs="Times New Roman"/>
                <w:kern w:val="0"/>
                <w:sz w:val="32"/>
                <w:szCs w:val="32"/>
                <w:vertAlign w:val="superscript"/>
              </w:rPr>
              <w:t>)</w:t>
            </w:r>
            <w:r w:rsidRPr="00A87083">
              <w:rPr>
                <w:rFonts w:ascii="Times New Roman" w:eastAsia="新細明體" w:hAnsi="Times New Roman" w:cs="Times New Roman"/>
                <w:kern w:val="0"/>
                <w:sz w:val="32"/>
                <w:szCs w:val="32"/>
              </w:rPr>
              <w:t>m</w:t>
            </w:r>
            <w:proofErr w:type="gramEnd"/>
            <w:r w:rsidRPr="00A87083">
              <w:rPr>
                <w:rFonts w:ascii="Times New Roman" w:eastAsia="新細明體" w:hAnsi="Times New Roman" w:cs="Times New Roman"/>
                <w:kern w:val="0"/>
                <w:sz w:val="32"/>
                <w:szCs w:val="32"/>
              </w:rPr>
              <w:t xml:space="preserve"> = a microbiological limit that separates good quality from marginally acceptable quality. </w:t>
            </w:r>
          </w:p>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M = a microbiological limit above which sampling results are unacceptable or defective.</w:t>
            </w:r>
          </w:p>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(3)m=“</w:t>
            </w:r>
            <w:r w:rsidRPr="00A87083">
              <w:rPr>
                <w:rFonts w:ascii="Times New Roman" w:eastAsia="標楷體" w:hAnsi="Times New Roman" w:cs="Times New Roman"/>
                <w:kern w:val="0"/>
                <w:sz w:val="32"/>
                <w:szCs w:val="32"/>
              </w:rPr>
              <w:t>＜</w:t>
            </w:r>
            <w:r w:rsidRPr="00A87083">
              <w:rPr>
                <w:rFonts w:ascii="Times New Roman" w:eastAsia="新細明體" w:hAnsi="Times New Roman" w:cs="Times New Roman"/>
                <w:kern w:val="0"/>
                <w:sz w:val="32"/>
                <w:szCs w:val="32"/>
              </w:rPr>
              <w:t>3”  is the MPNs per gram that refer to the methods of test for Coliform bacteria .</w:t>
            </w:r>
          </w:p>
        </w:tc>
      </w:tr>
    </w:tbl>
    <w:p w:rsidR="00A87083" w:rsidRDefault="00A87083" w:rsidP="00A87083">
      <w:pPr>
        <w:widowControl/>
        <w:adjustRightInd w:val="0"/>
        <w:snapToGrid w:val="0"/>
        <w:spacing w:before="100" w:beforeAutospacing="1" w:after="100" w:afterAutospacing="1"/>
        <w:rPr>
          <w:rFonts w:ascii="Times New Roman" w:eastAsia="新細明體" w:hAnsi="Times New Roman" w:cs="Times New Roman"/>
          <w:color w:val="333333"/>
          <w:kern w:val="0"/>
          <w:sz w:val="32"/>
          <w:szCs w:val="32"/>
        </w:rPr>
      </w:pPr>
    </w:p>
    <w:p w:rsidR="00A87083" w:rsidRP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r w:rsidRPr="00A87083">
        <w:rPr>
          <w:rFonts w:ascii="Times New Roman" w:eastAsia="新細明體" w:hAnsi="Times New Roman" w:cs="Times New Roman"/>
          <w:color w:val="333333"/>
          <w:kern w:val="0"/>
          <w:sz w:val="32"/>
          <w:szCs w:val="32"/>
        </w:rPr>
        <w:t xml:space="preserve">Article 5   </w:t>
      </w:r>
      <w:r>
        <w:rPr>
          <w:rFonts w:ascii="Times New Roman" w:eastAsia="新細明體" w:hAnsi="Times New Roman" w:cs="Times New Roman" w:hint="eastAsia"/>
          <w:color w:val="333333"/>
          <w:kern w:val="0"/>
          <w:sz w:val="32"/>
          <w:szCs w:val="32"/>
        </w:rPr>
        <w:tab/>
      </w:r>
      <w:r w:rsidRPr="00A87083">
        <w:rPr>
          <w:rFonts w:ascii="Times New Roman" w:eastAsia="新細明體" w:hAnsi="Times New Roman" w:cs="Times New Roman"/>
          <w:color w:val="333333"/>
          <w:kern w:val="0"/>
          <w:sz w:val="32"/>
          <w:szCs w:val="32"/>
        </w:rPr>
        <w:t>The tolerance of mycotoxins in infant foods: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4"/>
        <w:gridCol w:w="3560"/>
        <w:gridCol w:w="1857"/>
      </w:tblGrid>
      <w:tr w:rsidR="00A87083" w:rsidRPr="00A87083">
        <w:trPr>
          <w:jc w:val="center"/>
        </w:trPr>
        <w:tc>
          <w:tcPr>
            <w:tcW w:w="255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Mycotoxins</w:t>
            </w:r>
          </w:p>
        </w:tc>
        <w:tc>
          <w:tcPr>
            <w:tcW w:w="356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Food category</w:t>
            </w:r>
          </w:p>
        </w:tc>
        <w:tc>
          <w:tcPr>
            <w:tcW w:w="185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Limit (ppb)</w:t>
            </w:r>
          </w:p>
        </w:tc>
      </w:tr>
      <w:tr w:rsidR="00A87083" w:rsidRPr="00A87083">
        <w:trPr>
          <w:jc w:val="center"/>
        </w:trPr>
        <w:tc>
          <w:tcPr>
            <w:tcW w:w="25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Aflatoxin B1</w:t>
            </w:r>
          </w:p>
        </w:tc>
        <w:tc>
          <w:tcPr>
            <w:tcW w:w="3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Cereal-based foods for infant</w:t>
            </w:r>
          </w:p>
        </w:tc>
        <w:tc>
          <w:tcPr>
            <w:tcW w:w="1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0.1</w:t>
            </w:r>
            <w:r w:rsidRPr="00A87083">
              <w:rPr>
                <w:rFonts w:ascii="Times New Roman" w:eastAsia="新細明體" w:hAnsi="Times New Roman" w:cs="Times New Roman"/>
                <w:kern w:val="0"/>
                <w:sz w:val="32"/>
                <w:szCs w:val="32"/>
                <w:vertAlign w:val="superscript"/>
              </w:rPr>
              <w:t>(1)</w:t>
            </w:r>
          </w:p>
        </w:tc>
      </w:tr>
      <w:tr w:rsidR="00A87083" w:rsidRPr="00A87083">
        <w:trPr>
          <w:jc w:val="center"/>
        </w:trPr>
        <w:tc>
          <w:tcPr>
            <w:tcW w:w="0" w:type="auto"/>
            <w:vMerge/>
            <w:tcBorders>
              <w:top w:val="nil"/>
              <w:left w:val="single" w:sz="8" w:space="0" w:color="auto"/>
              <w:bottom w:val="single" w:sz="8" w:space="0" w:color="auto"/>
              <w:right w:val="single" w:sz="8" w:space="0" w:color="auto"/>
            </w:tcBorders>
            <w:vAlign w:val="center"/>
            <w:hideMark/>
          </w:tcPr>
          <w:p w:rsidR="00A87083" w:rsidRPr="00A87083" w:rsidRDefault="00A87083" w:rsidP="00A87083">
            <w:pPr>
              <w:widowControl/>
              <w:adjustRightInd w:val="0"/>
              <w:snapToGrid w:val="0"/>
              <w:rPr>
                <w:rFonts w:ascii="Times New Roman" w:eastAsia="新細明體" w:hAnsi="Times New Roman" w:cs="Times New Roman"/>
                <w:kern w:val="0"/>
                <w:sz w:val="32"/>
                <w:szCs w:val="32"/>
              </w:rPr>
            </w:pPr>
          </w:p>
        </w:tc>
        <w:tc>
          <w:tcPr>
            <w:tcW w:w="3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Infant formula for special medical purposes</w:t>
            </w:r>
          </w:p>
        </w:tc>
        <w:tc>
          <w:tcPr>
            <w:tcW w:w="1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0.1</w:t>
            </w:r>
            <w:r w:rsidRPr="00A87083">
              <w:rPr>
                <w:rFonts w:ascii="Times New Roman" w:eastAsia="新細明體" w:hAnsi="Times New Roman" w:cs="Times New Roman"/>
                <w:kern w:val="0"/>
                <w:sz w:val="32"/>
                <w:szCs w:val="32"/>
                <w:vertAlign w:val="superscript"/>
              </w:rPr>
              <w:t>(2)</w:t>
            </w:r>
          </w:p>
        </w:tc>
      </w:tr>
      <w:tr w:rsidR="00A87083" w:rsidRPr="00A87083">
        <w:trPr>
          <w:jc w:val="center"/>
        </w:trPr>
        <w:tc>
          <w:tcPr>
            <w:tcW w:w="25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Aflatoxin M1</w:t>
            </w:r>
          </w:p>
        </w:tc>
        <w:tc>
          <w:tcPr>
            <w:tcW w:w="3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Infant formula and follow-up infant formula</w:t>
            </w:r>
          </w:p>
        </w:tc>
        <w:tc>
          <w:tcPr>
            <w:tcW w:w="1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0.025</w:t>
            </w:r>
            <w:r w:rsidRPr="00A87083">
              <w:rPr>
                <w:rFonts w:ascii="Times New Roman" w:eastAsia="新細明體" w:hAnsi="Times New Roman" w:cs="Times New Roman"/>
                <w:kern w:val="0"/>
                <w:sz w:val="32"/>
                <w:szCs w:val="32"/>
                <w:vertAlign w:val="superscript"/>
              </w:rPr>
              <w:t>(2)</w:t>
            </w:r>
          </w:p>
        </w:tc>
      </w:tr>
      <w:tr w:rsidR="00A87083" w:rsidRPr="00A87083">
        <w:trPr>
          <w:jc w:val="center"/>
        </w:trPr>
        <w:tc>
          <w:tcPr>
            <w:tcW w:w="0" w:type="auto"/>
            <w:vMerge/>
            <w:tcBorders>
              <w:top w:val="nil"/>
              <w:left w:val="single" w:sz="8" w:space="0" w:color="auto"/>
              <w:bottom w:val="single" w:sz="8" w:space="0" w:color="auto"/>
              <w:right w:val="single" w:sz="8" w:space="0" w:color="auto"/>
            </w:tcBorders>
            <w:vAlign w:val="center"/>
            <w:hideMark/>
          </w:tcPr>
          <w:p w:rsidR="00A87083" w:rsidRPr="00A87083" w:rsidRDefault="00A87083" w:rsidP="00A87083">
            <w:pPr>
              <w:widowControl/>
              <w:adjustRightInd w:val="0"/>
              <w:snapToGrid w:val="0"/>
              <w:rPr>
                <w:rFonts w:ascii="Times New Roman" w:eastAsia="新細明體" w:hAnsi="Times New Roman" w:cs="Times New Roman"/>
                <w:kern w:val="0"/>
                <w:sz w:val="32"/>
                <w:szCs w:val="32"/>
              </w:rPr>
            </w:pPr>
          </w:p>
        </w:tc>
        <w:tc>
          <w:tcPr>
            <w:tcW w:w="3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Infant formula for special medical purposes</w:t>
            </w:r>
          </w:p>
        </w:tc>
        <w:tc>
          <w:tcPr>
            <w:tcW w:w="1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0.025</w:t>
            </w:r>
            <w:r w:rsidRPr="00A87083">
              <w:rPr>
                <w:rFonts w:ascii="Times New Roman" w:eastAsia="新細明體" w:hAnsi="Times New Roman" w:cs="Times New Roman"/>
                <w:kern w:val="0"/>
                <w:sz w:val="32"/>
                <w:szCs w:val="32"/>
                <w:vertAlign w:val="superscript"/>
              </w:rPr>
              <w:t>(2)</w:t>
            </w:r>
          </w:p>
        </w:tc>
      </w:tr>
      <w:tr w:rsidR="00A87083" w:rsidRPr="00A87083">
        <w:trPr>
          <w:jc w:val="center"/>
        </w:trPr>
        <w:tc>
          <w:tcPr>
            <w:tcW w:w="25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proofErr w:type="spellStart"/>
            <w:r w:rsidRPr="00A87083">
              <w:rPr>
                <w:rFonts w:ascii="Times New Roman" w:eastAsia="新細明體" w:hAnsi="Times New Roman" w:cs="Times New Roman"/>
                <w:kern w:val="0"/>
                <w:sz w:val="32"/>
                <w:szCs w:val="32"/>
              </w:rPr>
              <w:t>Ochratoxin</w:t>
            </w:r>
            <w:proofErr w:type="spellEnd"/>
            <w:r w:rsidRPr="00A87083">
              <w:rPr>
                <w:rFonts w:ascii="Times New Roman" w:eastAsia="新細明體" w:hAnsi="Times New Roman" w:cs="Times New Roman"/>
                <w:kern w:val="0"/>
                <w:sz w:val="32"/>
                <w:szCs w:val="32"/>
              </w:rPr>
              <w:t xml:space="preserve"> A</w:t>
            </w:r>
          </w:p>
        </w:tc>
        <w:tc>
          <w:tcPr>
            <w:tcW w:w="3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 xml:space="preserve">Cereal-based foods for infant </w:t>
            </w:r>
          </w:p>
        </w:tc>
        <w:tc>
          <w:tcPr>
            <w:tcW w:w="1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0.50</w:t>
            </w:r>
            <w:r w:rsidRPr="00A87083">
              <w:rPr>
                <w:rFonts w:ascii="Times New Roman" w:eastAsia="新細明體" w:hAnsi="Times New Roman" w:cs="Times New Roman"/>
                <w:kern w:val="0"/>
                <w:sz w:val="32"/>
                <w:szCs w:val="32"/>
                <w:vertAlign w:val="superscript"/>
              </w:rPr>
              <w:t>(1)</w:t>
            </w:r>
          </w:p>
        </w:tc>
      </w:tr>
      <w:tr w:rsidR="00A87083" w:rsidRPr="00A87083">
        <w:trPr>
          <w:jc w:val="center"/>
        </w:trPr>
        <w:tc>
          <w:tcPr>
            <w:tcW w:w="25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proofErr w:type="spellStart"/>
            <w:r w:rsidRPr="00A87083">
              <w:rPr>
                <w:rFonts w:ascii="Times New Roman" w:eastAsia="新細明體" w:hAnsi="Times New Roman" w:cs="Times New Roman"/>
                <w:kern w:val="0"/>
                <w:sz w:val="32"/>
                <w:szCs w:val="32"/>
              </w:rPr>
              <w:t>Zearalenone</w:t>
            </w:r>
            <w:proofErr w:type="spellEnd"/>
          </w:p>
        </w:tc>
        <w:tc>
          <w:tcPr>
            <w:tcW w:w="3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 xml:space="preserve">Cereal-based foods for </w:t>
            </w:r>
            <w:r w:rsidRPr="00A87083">
              <w:rPr>
                <w:rFonts w:ascii="Times New Roman" w:eastAsia="新細明體" w:hAnsi="Times New Roman" w:cs="Times New Roman"/>
                <w:kern w:val="0"/>
                <w:sz w:val="32"/>
                <w:szCs w:val="32"/>
              </w:rPr>
              <w:lastRenderedPageBreak/>
              <w:t xml:space="preserve">infant </w:t>
            </w:r>
          </w:p>
        </w:tc>
        <w:tc>
          <w:tcPr>
            <w:tcW w:w="1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lastRenderedPageBreak/>
              <w:t>20</w:t>
            </w:r>
            <w:r w:rsidRPr="00A87083">
              <w:rPr>
                <w:rFonts w:ascii="Times New Roman" w:eastAsia="新細明體" w:hAnsi="Times New Roman" w:cs="Times New Roman"/>
                <w:kern w:val="0"/>
                <w:sz w:val="32"/>
                <w:szCs w:val="32"/>
                <w:vertAlign w:val="superscript"/>
              </w:rPr>
              <w:t>(1)</w:t>
            </w:r>
          </w:p>
        </w:tc>
      </w:tr>
      <w:tr w:rsidR="00A87083" w:rsidRPr="00A87083">
        <w:trPr>
          <w:jc w:val="center"/>
        </w:trPr>
        <w:tc>
          <w:tcPr>
            <w:tcW w:w="25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proofErr w:type="spellStart"/>
            <w:r w:rsidRPr="00A87083">
              <w:rPr>
                <w:rFonts w:ascii="Times New Roman" w:eastAsia="新細明體" w:hAnsi="Times New Roman" w:cs="Times New Roman"/>
                <w:kern w:val="0"/>
                <w:sz w:val="32"/>
                <w:szCs w:val="32"/>
              </w:rPr>
              <w:lastRenderedPageBreak/>
              <w:t>Deoxynivalenol</w:t>
            </w:r>
            <w:proofErr w:type="spellEnd"/>
          </w:p>
        </w:tc>
        <w:tc>
          <w:tcPr>
            <w:tcW w:w="3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 xml:space="preserve">Cereal-based foods for infant </w:t>
            </w:r>
          </w:p>
        </w:tc>
        <w:tc>
          <w:tcPr>
            <w:tcW w:w="1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200</w:t>
            </w:r>
            <w:r w:rsidRPr="00A87083">
              <w:rPr>
                <w:rFonts w:ascii="Times New Roman" w:eastAsia="新細明體" w:hAnsi="Times New Roman" w:cs="Times New Roman"/>
                <w:kern w:val="0"/>
                <w:sz w:val="32"/>
                <w:szCs w:val="32"/>
                <w:vertAlign w:val="superscript"/>
              </w:rPr>
              <w:t>(1)</w:t>
            </w:r>
          </w:p>
        </w:tc>
      </w:tr>
      <w:tr w:rsidR="00A87083" w:rsidRPr="00A87083">
        <w:trPr>
          <w:jc w:val="center"/>
        </w:trPr>
        <w:tc>
          <w:tcPr>
            <w:tcW w:w="25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proofErr w:type="spellStart"/>
            <w:r w:rsidRPr="00A87083">
              <w:rPr>
                <w:rFonts w:ascii="Times New Roman" w:eastAsia="新細明體" w:hAnsi="Times New Roman" w:cs="Times New Roman"/>
                <w:kern w:val="0"/>
                <w:sz w:val="32"/>
                <w:szCs w:val="32"/>
              </w:rPr>
              <w:t>Fumonisins</w:t>
            </w:r>
            <w:proofErr w:type="spellEnd"/>
            <w:r w:rsidRPr="00A87083">
              <w:rPr>
                <w:rFonts w:ascii="Times New Roman" w:eastAsia="新細明體" w:hAnsi="Times New Roman" w:cs="Times New Roman"/>
                <w:kern w:val="0"/>
                <w:sz w:val="32"/>
                <w:szCs w:val="32"/>
              </w:rPr>
              <w:t xml:space="preserve"> B1+B2</w:t>
            </w:r>
          </w:p>
        </w:tc>
        <w:tc>
          <w:tcPr>
            <w:tcW w:w="3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 xml:space="preserve">Cereal-based foods for infant </w:t>
            </w:r>
          </w:p>
        </w:tc>
        <w:tc>
          <w:tcPr>
            <w:tcW w:w="1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200</w:t>
            </w:r>
            <w:r w:rsidRPr="00A87083">
              <w:rPr>
                <w:rFonts w:ascii="Times New Roman" w:eastAsia="新細明體" w:hAnsi="Times New Roman" w:cs="Times New Roman"/>
                <w:kern w:val="0"/>
                <w:sz w:val="32"/>
                <w:szCs w:val="32"/>
                <w:vertAlign w:val="superscript"/>
              </w:rPr>
              <w:t>(1)</w:t>
            </w:r>
          </w:p>
        </w:tc>
      </w:tr>
      <w:tr w:rsidR="00A87083" w:rsidRPr="00A87083">
        <w:trPr>
          <w:jc w:val="center"/>
        </w:trPr>
        <w:tc>
          <w:tcPr>
            <w:tcW w:w="7971"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vertAlign w:val="superscript"/>
              </w:rPr>
              <w:t>(1)</w:t>
            </w:r>
            <w:r w:rsidRPr="00A87083">
              <w:rPr>
                <w:rFonts w:ascii="Times New Roman" w:eastAsia="新細明體" w:hAnsi="Times New Roman" w:cs="Times New Roman"/>
                <w:kern w:val="0"/>
                <w:sz w:val="32"/>
                <w:szCs w:val="32"/>
              </w:rPr>
              <w:t>The limit refers to the dry matter.</w:t>
            </w:r>
          </w:p>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vertAlign w:val="superscript"/>
              </w:rPr>
              <w:t>(2)</w:t>
            </w:r>
            <w:r w:rsidRPr="00A87083">
              <w:rPr>
                <w:rFonts w:ascii="Times New Roman" w:eastAsia="新細明體" w:hAnsi="Times New Roman" w:cs="Times New Roman"/>
                <w:kern w:val="0"/>
                <w:sz w:val="32"/>
                <w:szCs w:val="32"/>
              </w:rPr>
              <w:t xml:space="preserve">The limit refers in the case of milk and milk products, to the products ready for use (marketed as such or reconstituted as instructed by the manufacturer) and in the case of products other than milk and milk products, to the dry matter. </w:t>
            </w:r>
          </w:p>
        </w:tc>
      </w:tr>
    </w:tbl>
    <w:p w:rsidR="00A87083" w:rsidRDefault="00A87083" w:rsidP="00A87083">
      <w:pPr>
        <w:widowControl/>
        <w:adjustRightInd w:val="0"/>
        <w:snapToGrid w:val="0"/>
        <w:spacing w:before="100" w:beforeAutospacing="1" w:after="100" w:afterAutospacing="1"/>
        <w:rPr>
          <w:rFonts w:ascii="Times New Roman" w:eastAsia="新細明體" w:hAnsi="Times New Roman" w:cs="Times New Roman"/>
          <w:color w:val="333333"/>
          <w:kern w:val="0"/>
          <w:sz w:val="32"/>
          <w:szCs w:val="32"/>
        </w:rPr>
      </w:pPr>
    </w:p>
    <w:p w:rsidR="00A87083" w:rsidRPr="00A87083" w:rsidRDefault="00A87083" w:rsidP="00A87083">
      <w:pPr>
        <w:widowControl/>
        <w:adjustRightInd w:val="0"/>
        <w:snapToGrid w:val="0"/>
        <w:spacing w:before="100" w:beforeAutospacing="1" w:after="100" w:afterAutospacing="1"/>
        <w:ind w:leftChars="1" w:left="1842" w:hangingChars="575" w:hanging="1840"/>
        <w:rPr>
          <w:rFonts w:ascii="Times New Roman" w:eastAsia="新細明體" w:hAnsi="Times New Roman" w:cs="Times New Roman"/>
          <w:color w:val="333333"/>
          <w:kern w:val="0"/>
          <w:sz w:val="32"/>
          <w:szCs w:val="32"/>
        </w:rPr>
      </w:pPr>
      <w:r w:rsidRPr="00A87083">
        <w:rPr>
          <w:rFonts w:ascii="Times New Roman" w:eastAsia="新細明體" w:hAnsi="Times New Roman" w:cs="Times New Roman"/>
          <w:color w:val="333333"/>
          <w:kern w:val="0"/>
          <w:sz w:val="32"/>
          <w:szCs w:val="32"/>
        </w:rPr>
        <w:t xml:space="preserve">Article 6   </w:t>
      </w:r>
      <w:r>
        <w:rPr>
          <w:rFonts w:ascii="Times New Roman" w:eastAsia="新細明體" w:hAnsi="Times New Roman" w:cs="Times New Roman" w:hint="eastAsia"/>
          <w:color w:val="333333"/>
          <w:kern w:val="0"/>
          <w:sz w:val="32"/>
          <w:szCs w:val="32"/>
        </w:rPr>
        <w:tab/>
      </w:r>
      <w:r w:rsidRPr="00A87083">
        <w:rPr>
          <w:rFonts w:ascii="Times New Roman" w:eastAsia="新細明體" w:hAnsi="Times New Roman" w:cs="Times New Roman"/>
          <w:color w:val="333333"/>
          <w:kern w:val="0"/>
          <w:sz w:val="32"/>
          <w:szCs w:val="32"/>
        </w:rPr>
        <w:t>The tolerance of heavy metal in infant foods: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4"/>
        <w:gridCol w:w="3995"/>
      </w:tblGrid>
      <w:tr w:rsidR="00A87083" w:rsidRPr="00A87083">
        <w:trPr>
          <w:jc w:val="center"/>
        </w:trPr>
        <w:tc>
          <w:tcPr>
            <w:tcW w:w="399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Heavy metal</w:t>
            </w:r>
          </w:p>
        </w:tc>
        <w:tc>
          <w:tcPr>
            <w:tcW w:w="399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b/>
                <w:bCs/>
                <w:kern w:val="0"/>
                <w:sz w:val="32"/>
                <w:szCs w:val="32"/>
              </w:rPr>
              <w:t>Limit (ppm)</w:t>
            </w:r>
          </w:p>
        </w:tc>
      </w:tr>
      <w:tr w:rsidR="00A87083" w:rsidRPr="00A87083">
        <w:trPr>
          <w:trHeight w:val="644"/>
          <w:jc w:val="center"/>
        </w:trPr>
        <w:tc>
          <w:tcPr>
            <w:tcW w:w="39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Lead</w:t>
            </w:r>
          </w:p>
        </w:tc>
        <w:tc>
          <w:tcPr>
            <w:tcW w:w="3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0.02</w:t>
            </w:r>
            <w:r w:rsidRPr="00A87083">
              <w:rPr>
                <w:rFonts w:ascii="Times New Roman" w:eastAsia="新細明體" w:hAnsi="Times New Roman" w:cs="Times New Roman"/>
                <w:kern w:val="0"/>
                <w:sz w:val="32"/>
                <w:szCs w:val="32"/>
                <w:vertAlign w:val="superscript"/>
              </w:rPr>
              <w:t>(1)</w:t>
            </w:r>
          </w:p>
        </w:tc>
      </w:tr>
      <w:tr w:rsidR="00A87083" w:rsidRPr="00A87083">
        <w:trPr>
          <w:trHeight w:val="644"/>
          <w:jc w:val="center"/>
        </w:trPr>
        <w:tc>
          <w:tcPr>
            <w:tcW w:w="39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Tin</w:t>
            </w:r>
          </w:p>
        </w:tc>
        <w:tc>
          <w:tcPr>
            <w:tcW w:w="3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rPr>
              <w:t>50</w:t>
            </w:r>
            <w:r w:rsidRPr="00A87083">
              <w:rPr>
                <w:rFonts w:ascii="Times New Roman" w:eastAsia="新細明體" w:hAnsi="Times New Roman" w:cs="Times New Roman"/>
                <w:kern w:val="0"/>
                <w:sz w:val="32"/>
                <w:szCs w:val="32"/>
                <w:vertAlign w:val="superscript"/>
              </w:rPr>
              <w:t>(2)</w:t>
            </w:r>
          </w:p>
        </w:tc>
      </w:tr>
      <w:tr w:rsidR="00A87083" w:rsidRPr="00A87083">
        <w:trPr>
          <w:trHeight w:val="644"/>
          <w:jc w:val="center"/>
        </w:trPr>
        <w:tc>
          <w:tcPr>
            <w:tcW w:w="798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vertAlign w:val="superscript"/>
              </w:rPr>
              <w:t>(1)</w:t>
            </w:r>
            <w:r w:rsidRPr="00A87083">
              <w:rPr>
                <w:rFonts w:ascii="Times New Roman" w:eastAsia="新細明體" w:hAnsi="Times New Roman" w:cs="Times New Roman"/>
                <w:kern w:val="0"/>
                <w:sz w:val="32"/>
                <w:szCs w:val="32"/>
              </w:rPr>
              <w:t>The limit refers to the products ready to use (marketed as such or after reconstitution as instructed by the manufacturer).</w:t>
            </w:r>
          </w:p>
          <w:p w:rsidR="00A87083" w:rsidRPr="00A87083" w:rsidRDefault="00A87083" w:rsidP="00A87083">
            <w:pPr>
              <w:widowControl/>
              <w:adjustRightInd w:val="0"/>
              <w:snapToGrid w:val="0"/>
              <w:spacing w:before="100" w:beforeAutospacing="1" w:after="100" w:afterAutospacing="1"/>
              <w:rPr>
                <w:rFonts w:ascii="Times New Roman" w:eastAsia="新細明體" w:hAnsi="Times New Roman" w:cs="Times New Roman"/>
                <w:kern w:val="0"/>
                <w:sz w:val="32"/>
                <w:szCs w:val="32"/>
              </w:rPr>
            </w:pPr>
            <w:r w:rsidRPr="00A87083">
              <w:rPr>
                <w:rFonts w:ascii="Times New Roman" w:eastAsia="新細明體" w:hAnsi="Times New Roman" w:cs="Times New Roman"/>
                <w:kern w:val="0"/>
                <w:sz w:val="32"/>
                <w:szCs w:val="32"/>
                <w:vertAlign w:val="superscript"/>
              </w:rPr>
              <w:t>(2)</w:t>
            </w:r>
            <w:r w:rsidRPr="00A87083">
              <w:rPr>
                <w:rFonts w:ascii="Times New Roman" w:eastAsia="新細明體" w:hAnsi="Times New Roman" w:cs="Times New Roman"/>
                <w:kern w:val="0"/>
                <w:sz w:val="32"/>
                <w:szCs w:val="32"/>
              </w:rPr>
              <w:t>The limit refers to the canned product as sold and excluding dried and powdered products.</w:t>
            </w:r>
          </w:p>
        </w:tc>
      </w:tr>
    </w:tbl>
    <w:p w:rsidR="00A87083" w:rsidRDefault="00A87083" w:rsidP="00A87083">
      <w:pPr>
        <w:widowControl/>
        <w:adjustRightInd w:val="0"/>
        <w:snapToGrid w:val="0"/>
        <w:spacing w:before="100" w:beforeAutospacing="1" w:after="100" w:afterAutospacing="1"/>
        <w:rPr>
          <w:rFonts w:ascii="Times New Roman" w:eastAsia="新細明體" w:hAnsi="Times New Roman" w:cs="Times New Roman"/>
          <w:color w:val="333333"/>
          <w:kern w:val="0"/>
          <w:sz w:val="32"/>
          <w:szCs w:val="32"/>
        </w:rPr>
      </w:pPr>
    </w:p>
    <w:p w:rsid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r w:rsidRPr="00A87083">
        <w:rPr>
          <w:rFonts w:ascii="Times New Roman" w:eastAsia="新細明體" w:hAnsi="Times New Roman" w:cs="Times New Roman"/>
          <w:color w:val="333333"/>
          <w:kern w:val="0"/>
          <w:sz w:val="32"/>
          <w:szCs w:val="32"/>
        </w:rPr>
        <w:t xml:space="preserve">Article 7   </w:t>
      </w:r>
      <w:r>
        <w:rPr>
          <w:rFonts w:ascii="Times New Roman" w:eastAsia="新細明體" w:hAnsi="Times New Roman" w:cs="Times New Roman" w:hint="eastAsia"/>
          <w:color w:val="333333"/>
          <w:kern w:val="0"/>
          <w:sz w:val="32"/>
          <w:szCs w:val="32"/>
        </w:rPr>
        <w:tab/>
      </w:r>
      <w:r w:rsidRPr="00A87083">
        <w:rPr>
          <w:rFonts w:ascii="Times New Roman" w:eastAsia="新細明體" w:hAnsi="Times New Roman" w:cs="Times New Roman"/>
          <w:color w:val="333333"/>
          <w:kern w:val="0"/>
          <w:sz w:val="32"/>
          <w:szCs w:val="32"/>
        </w:rPr>
        <w:t xml:space="preserve">The infant foods residue pesticide shall not be more than 0.01 ppm. (It is set according to the pesticides detectable level. This limit will reference to pesticides minimum detectable level, when this level greater or less than 0.01 ppm.) Those in violation of preceding paragraph shall be sanctioned in accordance with violating </w:t>
      </w:r>
      <w:r w:rsidRPr="00A87083">
        <w:rPr>
          <w:rFonts w:ascii="Times New Roman" w:eastAsia="新細明體" w:hAnsi="Times New Roman" w:cs="Times New Roman"/>
          <w:color w:val="333333"/>
          <w:kern w:val="0"/>
          <w:sz w:val="32"/>
          <w:szCs w:val="32"/>
        </w:rPr>
        <w:lastRenderedPageBreak/>
        <w:t>subparagraphs 5 of paragraph 1 of Article 15 of this Act.</w:t>
      </w:r>
    </w:p>
    <w:p w:rsidR="00A87083" w:rsidRP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p>
    <w:p w:rsid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r w:rsidRPr="00A87083">
        <w:rPr>
          <w:rFonts w:ascii="Times New Roman" w:eastAsia="新細明體" w:hAnsi="Times New Roman" w:cs="Times New Roman"/>
          <w:color w:val="333333"/>
          <w:kern w:val="0"/>
          <w:sz w:val="32"/>
          <w:szCs w:val="32"/>
        </w:rPr>
        <w:t>Article 8</w:t>
      </w:r>
      <w:r>
        <w:rPr>
          <w:rFonts w:ascii="Times New Roman" w:eastAsia="新細明體" w:hAnsi="Times New Roman" w:cs="Times New Roman" w:hint="eastAsia"/>
          <w:color w:val="333333"/>
          <w:kern w:val="0"/>
          <w:sz w:val="32"/>
          <w:szCs w:val="32"/>
        </w:rPr>
        <w:tab/>
      </w:r>
      <w:r w:rsidRPr="00A87083">
        <w:rPr>
          <w:rFonts w:ascii="Times New Roman" w:eastAsia="新細明體" w:hAnsi="Times New Roman" w:cs="Times New Roman"/>
          <w:color w:val="333333"/>
          <w:kern w:val="0"/>
          <w:sz w:val="32"/>
          <w:szCs w:val="32"/>
        </w:rPr>
        <w:t xml:space="preserve">Those in violation of other articles except the preceding </w:t>
      </w:r>
      <w:proofErr w:type="gramStart"/>
      <w:r w:rsidRPr="00A87083">
        <w:rPr>
          <w:rFonts w:ascii="Times New Roman" w:eastAsia="新細明體" w:hAnsi="Times New Roman" w:cs="Times New Roman"/>
          <w:color w:val="333333"/>
          <w:kern w:val="0"/>
          <w:sz w:val="32"/>
          <w:szCs w:val="32"/>
        </w:rPr>
        <w:t>Article,</w:t>
      </w:r>
      <w:proofErr w:type="gramEnd"/>
      <w:r w:rsidRPr="00A87083">
        <w:rPr>
          <w:rFonts w:ascii="Times New Roman" w:eastAsia="新細明體" w:hAnsi="Times New Roman" w:cs="Times New Roman"/>
          <w:color w:val="333333"/>
          <w:kern w:val="0"/>
          <w:sz w:val="32"/>
          <w:szCs w:val="32"/>
        </w:rPr>
        <w:t xml:space="preserve"> shall be sanctioned in accordance with violating Article 17 of this Act.</w:t>
      </w:r>
    </w:p>
    <w:p w:rsidR="00A87083" w:rsidRP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p>
    <w:p w:rsidR="00A87083" w:rsidRPr="00A87083" w:rsidRDefault="00A87083" w:rsidP="00A87083">
      <w:pPr>
        <w:widowControl/>
        <w:adjustRightInd w:val="0"/>
        <w:snapToGrid w:val="0"/>
        <w:spacing w:before="100" w:beforeAutospacing="1" w:after="100" w:afterAutospacing="1"/>
        <w:ind w:left="1840" w:hangingChars="575" w:hanging="1840"/>
        <w:rPr>
          <w:rFonts w:ascii="Times New Roman" w:eastAsia="新細明體" w:hAnsi="Times New Roman" w:cs="Times New Roman"/>
          <w:color w:val="333333"/>
          <w:kern w:val="0"/>
          <w:sz w:val="32"/>
          <w:szCs w:val="32"/>
        </w:rPr>
      </w:pPr>
      <w:r w:rsidRPr="00A87083">
        <w:rPr>
          <w:rFonts w:ascii="Times New Roman" w:eastAsia="新細明體" w:hAnsi="Times New Roman" w:cs="Times New Roman"/>
          <w:color w:val="333333"/>
          <w:kern w:val="0"/>
          <w:sz w:val="32"/>
          <w:szCs w:val="32"/>
        </w:rPr>
        <w:t>Article 9</w:t>
      </w:r>
      <w:r>
        <w:rPr>
          <w:rFonts w:ascii="Times New Roman" w:eastAsia="新細明體" w:hAnsi="Times New Roman" w:cs="Times New Roman" w:hint="eastAsia"/>
          <w:color w:val="333333"/>
          <w:kern w:val="0"/>
          <w:sz w:val="32"/>
          <w:szCs w:val="32"/>
        </w:rPr>
        <w:tab/>
      </w:r>
      <w:r w:rsidRPr="00A87083">
        <w:rPr>
          <w:rFonts w:ascii="Times New Roman" w:eastAsia="新細明體" w:hAnsi="Times New Roman" w:cs="Times New Roman"/>
          <w:color w:val="333333"/>
          <w:kern w:val="0"/>
          <w:sz w:val="32"/>
          <w:szCs w:val="32"/>
        </w:rPr>
        <w:t xml:space="preserve">This Standard shall be implemented from the date of promulgation. </w:t>
      </w:r>
    </w:p>
    <w:p w:rsidR="00A87083" w:rsidRPr="00A87083" w:rsidRDefault="00A87083" w:rsidP="00A87083">
      <w:pPr>
        <w:adjustRightInd w:val="0"/>
        <w:snapToGrid w:val="0"/>
        <w:rPr>
          <w:rFonts w:ascii="Times New Roman" w:hAnsi="Times New Roman" w:cs="Times New Roman"/>
          <w:sz w:val="32"/>
          <w:szCs w:val="32"/>
        </w:rPr>
      </w:pPr>
    </w:p>
    <w:sectPr w:rsidR="00A87083" w:rsidRPr="00A8708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AB" w:rsidRDefault="00C718AB" w:rsidP="00A87083">
      <w:r>
        <w:separator/>
      </w:r>
    </w:p>
  </w:endnote>
  <w:endnote w:type="continuationSeparator" w:id="0">
    <w:p w:rsidR="00C718AB" w:rsidRDefault="00C718AB" w:rsidP="00A8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24844"/>
      <w:docPartObj>
        <w:docPartGallery w:val="Page Numbers (Bottom of Page)"/>
        <w:docPartUnique/>
      </w:docPartObj>
    </w:sdtPr>
    <w:sdtEndPr/>
    <w:sdtContent>
      <w:p w:rsidR="00A87083" w:rsidRDefault="00A87083">
        <w:pPr>
          <w:pStyle w:val="a5"/>
          <w:jc w:val="center"/>
        </w:pPr>
        <w:r>
          <w:fldChar w:fldCharType="begin"/>
        </w:r>
        <w:r>
          <w:instrText>PAGE   \* MERGEFORMAT</w:instrText>
        </w:r>
        <w:r>
          <w:fldChar w:fldCharType="separate"/>
        </w:r>
        <w:r w:rsidR="00A93B36" w:rsidRPr="00A93B36">
          <w:rPr>
            <w:noProof/>
            <w:lang w:val="zh-TW"/>
          </w:rPr>
          <w:t>1</w:t>
        </w:r>
        <w:r>
          <w:fldChar w:fldCharType="end"/>
        </w:r>
      </w:p>
    </w:sdtContent>
  </w:sdt>
  <w:p w:rsidR="00A87083" w:rsidRDefault="00A870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AB" w:rsidRDefault="00C718AB" w:rsidP="00A87083">
      <w:r>
        <w:separator/>
      </w:r>
    </w:p>
  </w:footnote>
  <w:footnote w:type="continuationSeparator" w:id="0">
    <w:p w:rsidR="00C718AB" w:rsidRDefault="00C718AB" w:rsidP="00A87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83"/>
    <w:rsid w:val="009C3210"/>
    <w:rsid w:val="009D3D05"/>
    <w:rsid w:val="00A87083"/>
    <w:rsid w:val="00A93B36"/>
    <w:rsid w:val="00C32701"/>
    <w:rsid w:val="00C718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083"/>
    <w:pPr>
      <w:tabs>
        <w:tab w:val="center" w:pos="4153"/>
        <w:tab w:val="right" w:pos="8306"/>
      </w:tabs>
      <w:snapToGrid w:val="0"/>
    </w:pPr>
    <w:rPr>
      <w:sz w:val="20"/>
      <w:szCs w:val="20"/>
    </w:rPr>
  </w:style>
  <w:style w:type="character" w:customStyle="1" w:styleId="a4">
    <w:name w:val="頁首 字元"/>
    <w:basedOn w:val="a0"/>
    <w:link w:val="a3"/>
    <w:uiPriority w:val="99"/>
    <w:rsid w:val="00A87083"/>
    <w:rPr>
      <w:sz w:val="20"/>
      <w:szCs w:val="20"/>
    </w:rPr>
  </w:style>
  <w:style w:type="paragraph" w:styleId="a5">
    <w:name w:val="footer"/>
    <w:basedOn w:val="a"/>
    <w:link w:val="a6"/>
    <w:uiPriority w:val="99"/>
    <w:unhideWhenUsed/>
    <w:rsid w:val="00A87083"/>
    <w:pPr>
      <w:tabs>
        <w:tab w:val="center" w:pos="4153"/>
        <w:tab w:val="right" w:pos="8306"/>
      </w:tabs>
      <w:snapToGrid w:val="0"/>
    </w:pPr>
    <w:rPr>
      <w:sz w:val="20"/>
      <w:szCs w:val="20"/>
    </w:rPr>
  </w:style>
  <w:style w:type="character" w:customStyle="1" w:styleId="a6">
    <w:name w:val="頁尾 字元"/>
    <w:basedOn w:val="a0"/>
    <w:link w:val="a5"/>
    <w:uiPriority w:val="99"/>
    <w:rsid w:val="00A870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083"/>
    <w:pPr>
      <w:tabs>
        <w:tab w:val="center" w:pos="4153"/>
        <w:tab w:val="right" w:pos="8306"/>
      </w:tabs>
      <w:snapToGrid w:val="0"/>
    </w:pPr>
    <w:rPr>
      <w:sz w:val="20"/>
      <w:szCs w:val="20"/>
    </w:rPr>
  </w:style>
  <w:style w:type="character" w:customStyle="1" w:styleId="a4">
    <w:name w:val="頁首 字元"/>
    <w:basedOn w:val="a0"/>
    <w:link w:val="a3"/>
    <w:uiPriority w:val="99"/>
    <w:rsid w:val="00A87083"/>
    <w:rPr>
      <w:sz w:val="20"/>
      <w:szCs w:val="20"/>
    </w:rPr>
  </w:style>
  <w:style w:type="paragraph" w:styleId="a5">
    <w:name w:val="footer"/>
    <w:basedOn w:val="a"/>
    <w:link w:val="a6"/>
    <w:uiPriority w:val="99"/>
    <w:unhideWhenUsed/>
    <w:rsid w:val="00A87083"/>
    <w:pPr>
      <w:tabs>
        <w:tab w:val="center" w:pos="4153"/>
        <w:tab w:val="right" w:pos="8306"/>
      </w:tabs>
      <w:snapToGrid w:val="0"/>
    </w:pPr>
    <w:rPr>
      <w:sz w:val="20"/>
      <w:szCs w:val="20"/>
    </w:rPr>
  </w:style>
  <w:style w:type="character" w:customStyle="1" w:styleId="a6">
    <w:name w:val="頁尾 字元"/>
    <w:basedOn w:val="a0"/>
    <w:link w:val="a5"/>
    <w:uiPriority w:val="99"/>
    <w:rsid w:val="00A870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許明滿</dc:creator>
  <cp:lastModifiedBy>許明滿</cp:lastModifiedBy>
  <cp:revision>2</cp:revision>
  <dcterms:created xsi:type="dcterms:W3CDTF">2016-03-22T01:56:00Z</dcterms:created>
  <dcterms:modified xsi:type="dcterms:W3CDTF">2016-03-23T06:46:00Z</dcterms:modified>
</cp:coreProperties>
</file>