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2" w:type="dxa"/>
        <w:jc w:val="center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94"/>
      </w:tblGrid>
      <w:tr w:rsidR="00211E09" w:rsidRPr="00AE7D75" w:rsidTr="00911ACD">
        <w:trPr>
          <w:trHeight w:val="333"/>
          <w:jc w:val="center"/>
        </w:trPr>
        <w:tc>
          <w:tcPr>
            <w:tcW w:w="102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1E09" w:rsidRPr="00AE7D75" w:rsidRDefault="00AA11D5" w:rsidP="001D684A">
            <w:pPr>
              <w:pStyle w:val="1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AE7D75">
              <w:rPr>
                <w:rFonts w:ascii="Times New Roman" w:eastAsia="標楷體" w:hAnsi="標楷體" w:cs="Times New Roman"/>
                <w:sz w:val="36"/>
                <w:szCs w:val="36"/>
              </w:rPr>
              <w:t>全身性麻</w:t>
            </w:r>
            <w:r w:rsidR="001B0AC6" w:rsidRPr="00AE7D75">
              <w:rPr>
                <w:rFonts w:ascii="Times New Roman" w:eastAsia="標楷體" w:hAnsi="標楷體" w:cs="Times New Roman"/>
                <w:sz w:val="36"/>
                <w:szCs w:val="36"/>
              </w:rPr>
              <w:t>醉劑及鎮靜劑</w:t>
            </w:r>
            <w:r w:rsidR="00911ACD" w:rsidRPr="00AE7D75">
              <w:rPr>
                <w:rFonts w:ascii="Times New Roman" w:eastAsia="標楷體" w:hAnsi="標楷體" w:cs="Times New Roman"/>
                <w:sz w:val="36"/>
                <w:szCs w:val="36"/>
              </w:rPr>
              <w:t>成分</w:t>
            </w:r>
            <w:r w:rsidR="00401BF5" w:rsidRPr="00AE7D75">
              <w:rPr>
                <w:rFonts w:ascii="Times New Roman" w:eastAsia="標楷體" w:hAnsi="標楷體" w:cs="Times New Roman"/>
                <w:sz w:val="36"/>
                <w:szCs w:val="36"/>
              </w:rPr>
              <w:t>藥品安全資訊風險溝通表</w:t>
            </w:r>
          </w:p>
        </w:tc>
      </w:tr>
      <w:tr w:rsidR="00211E09" w:rsidRPr="00AE7D75" w:rsidTr="00911ACD">
        <w:trPr>
          <w:trHeight w:val="333"/>
          <w:jc w:val="center"/>
        </w:trPr>
        <w:tc>
          <w:tcPr>
            <w:tcW w:w="1026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11E09" w:rsidRPr="00AE7D75" w:rsidRDefault="00B32C39" w:rsidP="00A61701">
            <w:pPr>
              <w:pStyle w:val="1"/>
              <w:spacing w:before="0" w:beforeAutospacing="0" w:after="0" w:afterAutospacing="0" w:line="240" w:lineRule="atLeast"/>
              <w:jc w:val="right"/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</w:pPr>
            <w:r w:rsidRPr="00AE7D75">
              <w:rPr>
                <w:rFonts w:ascii="Times New Roman" w:eastAsia="標楷體" w:hAnsi="標楷體" w:cs="Times New Roman"/>
                <w:b w:val="0"/>
                <w:sz w:val="24"/>
                <w:szCs w:val="24"/>
              </w:rPr>
              <w:t>製表</w:t>
            </w:r>
            <w:r w:rsidR="00211E09" w:rsidRPr="00AE7D75">
              <w:rPr>
                <w:rFonts w:ascii="Times New Roman" w:eastAsia="標楷體" w:hAnsi="標楷體" w:cs="Times New Roman"/>
                <w:b w:val="0"/>
                <w:sz w:val="24"/>
                <w:szCs w:val="24"/>
              </w:rPr>
              <w:t>日期：</w:t>
            </w:r>
            <w:r w:rsidR="00D6408B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10</w:t>
            </w:r>
            <w:r w:rsidR="00D6408B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</w:rPr>
              <w:t>6/1/9</w:t>
            </w:r>
          </w:p>
        </w:tc>
      </w:tr>
      <w:tr w:rsidR="00911ACD" w:rsidRPr="00AE7D75" w:rsidTr="007C418C">
        <w:trPr>
          <w:trHeight w:val="333"/>
          <w:jc w:val="center"/>
        </w:trPr>
        <w:tc>
          <w:tcPr>
            <w:tcW w:w="2268" w:type="dxa"/>
            <w:vAlign w:val="center"/>
          </w:tcPr>
          <w:p w:rsidR="00911ACD" w:rsidRPr="00AE7D75" w:rsidRDefault="00911ACD" w:rsidP="009424B6">
            <w:pPr>
              <w:jc w:val="center"/>
              <w:rPr>
                <w:rFonts w:ascii="Times New Roman" w:eastAsia="標楷體" w:hAnsi="Times New Roman"/>
              </w:rPr>
            </w:pPr>
            <w:r w:rsidRPr="00AE7D75">
              <w:rPr>
                <w:rFonts w:ascii="Times New Roman" w:eastAsia="標楷體" w:hAnsi="標楷體"/>
              </w:rPr>
              <w:t>藥品成分</w:t>
            </w:r>
          </w:p>
        </w:tc>
        <w:tc>
          <w:tcPr>
            <w:tcW w:w="7994" w:type="dxa"/>
          </w:tcPr>
          <w:p w:rsidR="00911ACD" w:rsidRPr="00AE7D75" w:rsidRDefault="003569F9" w:rsidP="002445F4">
            <w:pPr>
              <w:pStyle w:val="1"/>
              <w:spacing w:before="0" w:beforeAutospacing="0" w:after="0" w:afterAutospacing="0" w:line="240" w:lineRule="atLeast"/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</w:pPr>
            <w:r w:rsidRPr="00AE7D75">
              <w:rPr>
                <w:rFonts w:ascii="Times New Roman" w:eastAsia="標楷體" w:hAnsi="標楷體" w:cs="Times New Roman"/>
                <w:b w:val="0"/>
                <w:sz w:val="24"/>
                <w:szCs w:val="24"/>
              </w:rPr>
              <w:t>全身性麻醉劑及鎮靜劑</w:t>
            </w:r>
            <w:proofErr w:type="gramStart"/>
            <w:r w:rsidR="002445F4">
              <w:rPr>
                <w:rFonts w:ascii="Times New Roman" w:eastAsia="標楷體" w:hAnsi="標楷體" w:cs="Times New Roman"/>
                <w:b w:val="0"/>
                <w:sz w:val="24"/>
                <w:szCs w:val="24"/>
              </w:rPr>
              <w:t>（</w:t>
            </w:r>
            <w:proofErr w:type="gramEnd"/>
            <w:r w:rsidR="002445F4" w:rsidRPr="00AE7D75">
              <w:rPr>
                <w:rFonts w:ascii="Times New Roman" w:eastAsia="標楷體" w:hAnsi="標楷體" w:cs="Times New Roman"/>
                <w:b w:val="0"/>
                <w:sz w:val="24"/>
                <w:szCs w:val="24"/>
              </w:rPr>
              <w:t>包含：</w:t>
            </w:r>
            <w:proofErr w:type="spellStart"/>
            <w:r w:rsidR="002445F4" w:rsidRPr="00AE7D75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desflurane</w:t>
            </w:r>
            <w:proofErr w:type="spellEnd"/>
            <w:r w:rsidR="002445F4" w:rsidRPr="00AE7D75">
              <w:rPr>
                <w:rFonts w:ascii="Times New Roman" w:eastAsia="標楷體" w:hAnsi="標楷體" w:cs="Times New Roman"/>
                <w:b w:val="0"/>
                <w:sz w:val="24"/>
                <w:szCs w:val="24"/>
              </w:rPr>
              <w:t>、</w:t>
            </w:r>
            <w:r w:rsidR="002445F4" w:rsidRPr="00AE7D75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isoflurane</w:t>
            </w:r>
            <w:r w:rsidR="002445F4" w:rsidRPr="00AE7D75">
              <w:rPr>
                <w:rFonts w:ascii="Times New Roman" w:eastAsia="標楷體" w:hAnsi="標楷體" w:cs="Times New Roman"/>
                <w:b w:val="0"/>
                <w:sz w:val="24"/>
                <w:szCs w:val="24"/>
              </w:rPr>
              <w:t>、</w:t>
            </w:r>
            <w:r w:rsidR="002445F4" w:rsidRPr="00AE7D75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sevoflurane</w:t>
            </w:r>
            <w:r w:rsidR="002445F4" w:rsidRPr="00AE7D75">
              <w:rPr>
                <w:rFonts w:ascii="Times New Roman" w:eastAsia="標楷體" w:hAnsi="標楷體" w:cs="Times New Roman"/>
                <w:b w:val="0"/>
                <w:sz w:val="24"/>
                <w:szCs w:val="24"/>
              </w:rPr>
              <w:t>、</w:t>
            </w:r>
            <w:r w:rsidR="002445F4" w:rsidRPr="00AE7D75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halothane</w:t>
            </w:r>
            <w:r w:rsidR="002445F4" w:rsidRPr="00AE7D75">
              <w:rPr>
                <w:rFonts w:ascii="Times New Roman" w:eastAsia="標楷體" w:hAnsi="標楷體" w:cs="Times New Roman"/>
                <w:b w:val="0"/>
                <w:sz w:val="24"/>
                <w:szCs w:val="24"/>
              </w:rPr>
              <w:t>、</w:t>
            </w:r>
            <w:r w:rsidR="002445F4" w:rsidRPr="00AE7D75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etomidate</w:t>
            </w:r>
            <w:r w:rsidR="002445F4" w:rsidRPr="00AE7D75">
              <w:rPr>
                <w:rFonts w:ascii="Times New Roman" w:eastAsia="標楷體" w:hAnsi="標楷體" w:cs="Times New Roman"/>
                <w:b w:val="0"/>
                <w:sz w:val="24"/>
                <w:szCs w:val="24"/>
              </w:rPr>
              <w:t>、</w:t>
            </w:r>
            <w:r w:rsidR="002445F4" w:rsidRPr="00AE7D75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ketamine</w:t>
            </w:r>
            <w:r w:rsidR="002445F4" w:rsidRPr="00AE7D75">
              <w:rPr>
                <w:rFonts w:ascii="Times New Roman" w:eastAsia="標楷體" w:hAnsi="標楷體" w:cs="Times New Roman"/>
                <w:b w:val="0"/>
                <w:sz w:val="24"/>
                <w:szCs w:val="24"/>
              </w:rPr>
              <w:t>、</w:t>
            </w:r>
            <w:proofErr w:type="spellStart"/>
            <w:r w:rsidR="002445F4" w:rsidRPr="00AE7D75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propofol</w:t>
            </w:r>
            <w:proofErr w:type="spellEnd"/>
            <w:r w:rsidR="002445F4" w:rsidRPr="00AE7D75">
              <w:rPr>
                <w:rFonts w:ascii="Times New Roman" w:eastAsia="標楷體" w:hAnsi="標楷體" w:cs="Times New Roman"/>
                <w:b w:val="0"/>
                <w:sz w:val="24"/>
                <w:szCs w:val="24"/>
              </w:rPr>
              <w:t>、</w:t>
            </w:r>
            <w:proofErr w:type="spellStart"/>
            <w:r w:rsidR="002445F4" w:rsidRPr="00AE7D75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methohexital</w:t>
            </w:r>
            <w:proofErr w:type="spellEnd"/>
            <w:r w:rsidR="002445F4" w:rsidRPr="00AE7D75">
              <w:rPr>
                <w:rFonts w:ascii="Times New Roman" w:eastAsia="標楷體" w:hAnsi="標楷體" w:cs="Times New Roman"/>
                <w:b w:val="0"/>
                <w:sz w:val="24"/>
                <w:szCs w:val="24"/>
              </w:rPr>
              <w:t>、</w:t>
            </w:r>
            <w:r w:rsidR="002445F4" w:rsidRPr="00AE7D75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pentobarbital</w:t>
            </w:r>
            <w:r w:rsidR="002445F4" w:rsidRPr="00AE7D75">
              <w:rPr>
                <w:rFonts w:ascii="Times New Roman" w:eastAsia="標楷體" w:hAnsi="標楷體" w:cs="Times New Roman"/>
                <w:b w:val="0"/>
                <w:sz w:val="24"/>
                <w:szCs w:val="24"/>
              </w:rPr>
              <w:t>、</w:t>
            </w:r>
            <w:r w:rsidR="002445F4" w:rsidRPr="00AE7D75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lorazepam injection</w:t>
            </w:r>
            <w:r w:rsidR="002445F4" w:rsidRPr="00AE7D75">
              <w:rPr>
                <w:rFonts w:ascii="Times New Roman" w:eastAsia="標楷體" w:hAnsi="標楷體" w:cs="Times New Roman"/>
                <w:b w:val="0"/>
                <w:sz w:val="24"/>
                <w:szCs w:val="24"/>
              </w:rPr>
              <w:t>、</w:t>
            </w:r>
            <w:r w:rsidR="002445F4" w:rsidRPr="00AE7D75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midazolam injection</w:t>
            </w:r>
            <w:r w:rsidR="002445F4" w:rsidRPr="00AE7D75">
              <w:rPr>
                <w:rFonts w:ascii="Times New Roman" w:eastAsia="標楷體" w:hAnsi="標楷體" w:cs="Times New Roman"/>
                <w:b w:val="0"/>
                <w:sz w:val="24"/>
                <w:szCs w:val="24"/>
              </w:rPr>
              <w:t>、</w:t>
            </w:r>
            <w:r w:rsidR="002445F4" w:rsidRPr="00AE7D75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midazolam syrup</w:t>
            </w:r>
            <w:r w:rsidR="002445F4" w:rsidRPr="00AE7D75">
              <w:rPr>
                <w:rFonts w:ascii="Times New Roman" w:eastAsia="標楷體" w:hAnsi="標楷體" w:cs="Times New Roman"/>
                <w:b w:val="0"/>
                <w:sz w:val="24"/>
                <w:szCs w:val="24"/>
              </w:rPr>
              <w:t>。</w:t>
            </w:r>
            <w:r w:rsidR="002445F4">
              <w:rPr>
                <w:rFonts w:ascii="Times New Roman" w:eastAsia="標楷體" w:hAnsi="標楷體" w:cs="Times New Roman"/>
                <w:b w:val="0"/>
                <w:sz w:val="24"/>
                <w:szCs w:val="24"/>
              </w:rPr>
              <w:t>）</w:t>
            </w:r>
          </w:p>
        </w:tc>
      </w:tr>
      <w:tr w:rsidR="00911ACD" w:rsidRPr="00AE7D75" w:rsidTr="007C418C">
        <w:trPr>
          <w:trHeight w:val="333"/>
          <w:jc w:val="center"/>
        </w:trPr>
        <w:tc>
          <w:tcPr>
            <w:tcW w:w="2268" w:type="dxa"/>
            <w:vAlign w:val="center"/>
          </w:tcPr>
          <w:p w:rsidR="00911ACD" w:rsidRPr="00AE7D75" w:rsidRDefault="00911ACD" w:rsidP="009424B6">
            <w:pPr>
              <w:jc w:val="center"/>
              <w:rPr>
                <w:rFonts w:ascii="Times New Roman" w:eastAsia="標楷體" w:hAnsi="Times New Roman"/>
              </w:rPr>
            </w:pPr>
            <w:r w:rsidRPr="00AE7D75">
              <w:rPr>
                <w:rFonts w:ascii="Times New Roman" w:eastAsia="標楷體" w:hAnsi="標楷體"/>
              </w:rPr>
              <w:t>藥品名稱</w:t>
            </w:r>
          </w:p>
          <w:p w:rsidR="00911ACD" w:rsidRPr="00AE7D75" w:rsidRDefault="00911ACD" w:rsidP="009424B6">
            <w:pPr>
              <w:jc w:val="center"/>
              <w:rPr>
                <w:rFonts w:ascii="Times New Roman" w:eastAsia="標楷體" w:hAnsi="Times New Roman"/>
              </w:rPr>
            </w:pPr>
            <w:r w:rsidRPr="00AE7D75">
              <w:rPr>
                <w:rFonts w:ascii="Times New Roman" w:eastAsia="標楷體" w:hAnsi="標楷體"/>
              </w:rPr>
              <w:t>及許可證字號</w:t>
            </w:r>
          </w:p>
        </w:tc>
        <w:tc>
          <w:tcPr>
            <w:tcW w:w="7994" w:type="dxa"/>
          </w:tcPr>
          <w:p w:rsidR="00CE5D45" w:rsidRPr="00AE7D75" w:rsidRDefault="00911ACD" w:rsidP="007E55B9">
            <w:pPr>
              <w:pStyle w:val="1"/>
              <w:spacing w:before="0" w:beforeAutospacing="0" w:after="0" w:afterAutospacing="0" w:line="240" w:lineRule="atLeast"/>
              <w:jc w:val="both"/>
              <w:rPr>
                <w:rFonts w:ascii="Times New Roman" w:eastAsia="標楷體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AE7D75">
              <w:rPr>
                <w:rFonts w:ascii="Times New Roman" w:eastAsia="標楷體" w:hAnsi="標楷體" w:cs="Times New Roman"/>
                <w:b w:val="0"/>
                <w:bCs w:val="0"/>
                <w:color w:val="000000" w:themeColor="text1"/>
                <w:sz w:val="24"/>
                <w:szCs w:val="24"/>
              </w:rPr>
              <w:t>衛生福利部核准</w:t>
            </w:r>
            <w:r w:rsidR="003569F9" w:rsidRPr="00AE7D75">
              <w:rPr>
                <w:rFonts w:ascii="Times New Roman" w:eastAsia="標楷體" w:hAnsi="標楷體" w:cs="Times New Roman"/>
                <w:b w:val="0"/>
                <w:sz w:val="24"/>
                <w:szCs w:val="24"/>
              </w:rPr>
              <w:t>全身性麻醉劑及鎮靜劑</w:t>
            </w:r>
            <w:r w:rsidR="00CE5D45" w:rsidRPr="00AE7D75">
              <w:rPr>
                <w:rFonts w:ascii="Times New Roman" w:eastAsia="標楷體" w:hAnsi="標楷體" w:cs="Times New Roman"/>
                <w:b w:val="0"/>
                <w:sz w:val="24"/>
                <w:szCs w:val="24"/>
              </w:rPr>
              <w:t>：</w:t>
            </w:r>
          </w:p>
          <w:p w:rsidR="00CE5D45" w:rsidRPr="00AE7D75" w:rsidRDefault="00CE5D45" w:rsidP="000723C9">
            <w:pPr>
              <w:pStyle w:val="1"/>
              <w:spacing w:before="0" w:beforeAutospacing="0" w:after="0" w:afterAutospacing="0" w:line="240" w:lineRule="atLeast"/>
              <w:ind w:leftChars="125" w:left="300" w:firstLine="1"/>
              <w:jc w:val="both"/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</w:pPr>
            <w:r w:rsidRPr="00AE7D75">
              <w:rPr>
                <w:rFonts w:ascii="Times New Roman" w:eastAsia="標楷體" w:hAnsi="標楷體" w:cs="Times New Roman"/>
                <w:b w:val="0"/>
                <w:sz w:val="24"/>
                <w:szCs w:val="24"/>
              </w:rPr>
              <w:t>含</w:t>
            </w:r>
            <w:proofErr w:type="spellStart"/>
            <w:r w:rsidRPr="00AE7D75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desflurane</w:t>
            </w:r>
            <w:proofErr w:type="spellEnd"/>
            <w:r w:rsidRPr="00AE7D75">
              <w:rPr>
                <w:rFonts w:ascii="Times New Roman" w:eastAsia="標楷體" w:hAnsi="標楷體" w:cs="Times New Roman"/>
                <w:b w:val="0"/>
                <w:sz w:val="24"/>
                <w:szCs w:val="24"/>
              </w:rPr>
              <w:t>成分</w:t>
            </w:r>
            <w:r w:rsidR="00702ED1" w:rsidRPr="00AE7D75">
              <w:rPr>
                <w:rFonts w:ascii="Times New Roman" w:eastAsia="標楷體" w:hAnsi="標楷體" w:cs="Times New Roman"/>
                <w:b w:val="0"/>
                <w:sz w:val="24"/>
                <w:szCs w:val="24"/>
              </w:rPr>
              <w:t>製劑之</w:t>
            </w:r>
            <w:r w:rsidRPr="00AE7D75">
              <w:rPr>
                <w:rFonts w:ascii="Times New Roman" w:eastAsia="標楷體" w:hAnsi="標楷體" w:cs="Times New Roman"/>
                <w:b w:val="0"/>
                <w:sz w:val="24"/>
                <w:szCs w:val="24"/>
              </w:rPr>
              <w:t>藥品許可證共</w:t>
            </w:r>
            <w:r w:rsidR="00702ED1" w:rsidRPr="00AE7D75">
              <w:rPr>
                <w:rFonts w:ascii="Times New Roman" w:eastAsia="標楷體" w:hAnsi="Times New Roman" w:cs="Times New Roman"/>
                <w:b w:val="0"/>
                <w:sz w:val="24"/>
                <w:szCs w:val="24"/>
                <w:u w:val="single"/>
              </w:rPr>
              <w:t xml:space="preserve"> </w:t>
            </w:r>
            <w:r w:rsidR="000723C9" w:rsidRPr="00AE7D75">
              <w:rPr>
                <w:rFonts w:ascii="Times New Roman" w:eastAsia="標楷體" w:hAnsi="Times New Roman" w:cs="Times New Roman"/>
                <w:b w:val="0"/>
                <w:sz w:val="24"/>
                <w:szCs w:val="24"/>
                <w:u w:val="single"/>
              </w:rPr>
              <w:t>1</w:t>
            </w:r>
            <w:r w:rsidR="00702ED1" w:rsidRPr="00AE7D75">
              <w:rPr>
                <w:rFonts w:ascii="Times New Roman" w:eastAsia="標楷體" w:hAnsi="Times New Roman" w:cs="Times New Roman"/>
                <w:b w:val="0"/>
                <w:sz w:val="24"/>
                <w:szCs w:val="24"/>
                <w:u w:val="single"/>
              </w:rPr>
              <w:t xml:space="preserve"> </w:t>
            </w:r>
            <w:r w:rsidR="000723C9" w:rsidRPr="00AE7D75">
              <w:rPr>
                <w:rFonts w:ascii="Times New Roman" w:eastAsia="標楷體" w:hAnsi="標楷體" w:cs="Times New Roman"/>
                <w:b w:val="0"/>
                <w:sz w:val="24"/>
                <w:szCs w:val="24"/>
              </w:rPr>
              <w:t>張，</w:t>
            </w:r>
          </w:p>
          <w:p w:rsidR="00CE5D45" w:rsidRPr="00AE7D75" w:rsidRDefault="00CE5D45" w:rsidP="000723C9">
            <w:pPr>
              <w:pStyle w:val="1"/>
              <w:spacing w:before="0" w:beforeAutospacing="0" w:after="0" w:afterAutospacing="0" w:line="240" w:lineRule="atLeast"/>
              <w:ind w:leftChars="125" w:left="300" w:firstLine="1"/>
              <w:jc w:val="both"/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</w:pPr>
            <w:r w:rsidRPr="00AE7D75">
              <w:rPr>
                <w:rFonts w:ascii="Times New Roman" w:eastAsia="標楷體" w:hAnsi="標楷體" w:cs="Times New Roman"/>
                <w:b w:val="0"/>
                <w:sz w:val="24"/>
                <w:szCs w:val="24"/>
              </w:rPr>
              <w:t>含</w:t>
            </w:r>
            <w:r w:rsidRPr="00AE7D75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isoflurane</w:t>
            </w:r>
            <w:r w:rsidRPr="00AE7D75">
              <w:rPr>
                <w:rFonts w:ascii="Times New Roman" w:eastAsia="標楷體" w:hAnsi="標楷體" w:cs="Times New Roman"/>
                <w:b w:val="0"/>
                <w:sz w:val="24"/>
                <w:szCs w:val="24"/>
              </w:rPr>
              <w:t>成分</w:t>
            </w:r>
            <w:r w:rsidR="00702ED1" w:rsidRPr="00AE7D75">
              <w:rPr>
                <w:rFonts w:ascii="Times New Roman" w:eastAsia="標楷體" w:hAnsi="標楷體" w:cs="Times New Roman"/>
                <w:b w:val="0"/>
                <w:sz w:val="24"/>
                <w:szCs w:val="24"/>
              </w:rPr>
              <w:t>製劑之</w:t>
            </w:r>
            <w:r w:rsidRPr="00AE7D75">
              <w:rPr>
                <w:rFonts w:ascii="Times New Roman" w:eastAsia="標楷體" w:hAnsi="標楷體" w:cs="Times New Roman"/>
                <w:b w:val="0"/>
                <w:sz w:val="24"/>
                <w:szCs w:val="24"/>
              </w:rPr>
              <w:t>藥品許可證共</w:t>
            </w:r>
            <w:r w:rsidR="00702ED1" w:rsidRPr="00AE7D75">
              <w:rPr>
                <w:rFonts w:ascii="Times New Roman" w:eastAsia="標楷體" w:hAnsi="Times New Roman" w:cs="Times New Roman"/>
                <w:b w:val="0"/>
                <w:sz w:val="24"/>
                <w:szCs w:val="24"/>
                <w:u w:val="single"/>
              </w:rPr>
              <w:t xml:space="preserve"> </w:t>
            </w:r>
            <w:r w:rsidR="000723C9" w:rsidRPr="00AE7D75">
              <w:rPr>
                <w:rFonts w:ascii="Times New Roman" w:eastAsia="標楷體" w:hAnsi="Times New Roman" w:cs="Times New Roman"/>
                <w:b w:val="0"/>
                <w:sz w:val="24"/>
                <w:szCs w:val="24"/>
                <w:u w:val="single"/>
              </w:rPr>
              <w:t>5</w:t>
            </w:r>
            <w:r w:rsidR="00702ED1" w:rsidRPr="00AE7D75">
              <w:rPr>
                <w:rFonts w:ascii="Times New Roman" w:eastAsia="標楷體" w:hAnsi="Times New Roman" w:cs="Times New Roman"/>
                <w:b w:val="0"/>
                <w:sz w:val="24"/>
                <w:szCs w:val="24"/>
                <w:u w:val="single"/>
              </w:rPr>
              <w:t xml:space="preserve"> </w:t>
            </w:r>
            <w:r w:rsidR="000723C9" w:rsidRPr="00AE7D75">
              <w:rPr>
                <w:rFonts w:ascii="Times New Roman" w:eastAsia="標楷體" w:hAnsi="標楷體" w:cs="Times New Roman"/>
                <w:b w:val="0"/>
                <w:sz w:val="24"/>
                <w:szCs w:val="24"/>
              </w:rPr>
              <w:t>張，</w:t>
            </w:r>
          </w:p>
          <w:p w:rsidR="00CE5D45" w:rsidRPr="00AE7D75" w:rsidRDefault="00CE5D45" w:rsidP="000723C9">
            <w:pPr>
              <w:pStyle w:val="1"/>
              <w:spacing w:before="0" w:beforeAutospacing="0" w:after="0" w:afterAutospacing="0" w:line="240" w:lineRule="atLeast"/>
              <w:ind w:leftChars="125" w:left="300" w:firstLine="1"/>
              <w:jc w:val="both"/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</w:pPr>
            <w:r w:rsidRPr="00AE7D75">
              <w:rPr>
                <w:rFonts w:ascii="Times New Roman" w:eastAsia="標楷體" w:hAnsi="標楷體" w:cs="Times New Roman"/>
                <w:b w:val="0"/>
                <w:sz w:val="24"/>
                <w:szCs w:val="24"/>
              </w:rPr>
              <w:t>含</w:t>
            </w:r>
            <w:r w:rsidRPr="00AE7D75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sevoflurane</w:t>
            </w:r>
            <w:r w:rsidRPr="00AE7D75">
              <w:rPr>
                <w:rFonts w:ascii="Times New Roman" w:eastAsia="標楷體" w:hAnsi="標楷體" w:cs="Times New Roman"/>
                <w:b w:val="0"/>
                <w:sz w:val="24"/>
                <w:szCs w:val="24"/>
              </w:rPr>
              <w:t>成分</w:t>
            </w:r>
            <w:r w:rsidR="00702ED1" w:rsidRPr="00AE7D75">
              <w:rPr>
                <w:rFonts w:ascii="Times New Roman" w:eastAsia="標楷體" w:hAnsi="標楷體" w:cs="Times New Roman"/>
                <w:b w:val="0"/>
                <w:sz w:val="24"/>
                <w:szCs w:val="24"/>
              </w:rPr>
              <w:t>製劑之</w:t>
            </w:r>
            <w:r w:rsidRPr="00AE7D75">
              <w:rPr>
                <w:rFonts w:ascii="Times New Roman" w:eastAsia="標楷體" w:hAnsi="標楷體" w:cs="Times New Roman"/>
                <w:b w:val="0"/>
                <w:sz w:val="24"/>
                <w:szCs w:val="24"/>
              </w:rPr>
              <w:t>藥品許可證共</w:t>
            </w:r>
            <w:r w:rsidR="00702ED1" w:rsidRPr="00AE7D75">
              <w:rPr>
                <w:rFonts w:ascii="Times New Roman" w:eastAsia="標楷體" w:hAnsi="Times New Roman" w:cs="Times New Roman"/>
                <w:b w:val="0"/>
                <w:sz w:val="24"/>
                <w:szCs w:val="24"/>
                <w:u w:val="single"/>
              </w:rPr>
              <w:t xml:space="preserve"> </w:t>
            </w:r>
            <w:r w:rsidR="000723C9" w:rsidRPr="00AE7D75">
              <w:rPr>
                <w:rFonts w:ascii="Times New Roman" w:eastAsia="標楷體" w:hAnsi="Times New Roman" w:cs="Times New Roman"/>
                <w:b w:val="0"/>
                <w:sz w:val="24"/>
                <w:szCs w:val="24"/>
                <w:u w:val="single"/>
              </w:rPr>
              <w:t>6</w:t>
            </w:r>
            <w:r w:rsidR="000723C9" w:rsidRPr="00AE7D75">
              <w:rPr>
                <w:rFonts w:ascii="Times New Roman" w:eastAsia="標楷體" w:hAnsi="標楷體" w:cs="Times New Roman"/>
                <w:b w:val="0"/>
                <w:sz w:val="24"/>
                <w:szCs w:val="24"/>
              </w:rPr>
              <w:t>張，</w:t>
            </w:r>
          </w:p>
          <w:p w:rsidR="00CE5D45" w:rsidRPr="00AE7D75" w:rsidRDefault="00CE5D45" w:rsidP="000723C9">
            <w:pPr>
              <w:pStyle w:val="1"/>
              <w:spacing w:before="0" w:beforeAutospacing="0" w:after="0" w:afterAutospacing="0" w:line="240" w:lineRule="atLeast"/>
              <w:ind w:leftChars="125" w:left="300" w:firstLine="1"/>
              <w:jc w:val="both"/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</w:pPr>
            <w:r w:rsidRPr="00AE7D75">
              <w:rPr>
                <w:rFonts w:ascii="Times New Roman" w:eastAsia="標楷體" w:hAnsi="標楷體" w:cs="Times New Roman"/>
                <w:b w:val="0"/>
                <w:sz w:val="24"/>
                <w:szCs w:val="24"/>
              </w:rPr>
              <w:t>含</w:t>
            </w:r>
            <w:r w:rsidRPr="00AE7D75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etomidate</w:t>
            </w:r>
            <w:r w:rsidRPr="00AE7D75">
              <w:rPr>
                <w:rFonts w:ascii="Times New Roman" w:eastAsia="標楷體" w:hAnsi="標楷體" w:cs="Times New Roman"/>
                <w:b w:val="0"/>
                <w:sz w:val="24"/>
                <w:szCs w:val="24"/>
              </w:rPr>
              <w:t>成分</w:t>
            </w:r>
            <w:r w:rsidR="00702ED1" w:rsidRPr="00AE7D75">
              <w:rPr>
                <w:rFonts w:ascii="Times New Roman" w:eastAsia="標楷體" w:hAnsi="標楷體" w:cs="Times New Roman"/>
                <w:b w:val="0"/>
                <w:sz w:val="24"/>
                <w:szCs w:val="24"/>
              </w:rPr>
              <w:t>製劑之</w:t>
            </w:r>
            <w:r w:rsidRPr="00AE7D75">
              <w:rPr>
                <w:rFonts w:ascii="Times New Roman" w:eastAsia="標楷體" w:hAnsi="標楷體" w:cs="Times New Roman"/>
                <w:b w:val="0"/>
                <w:sz w:val="24"/>
                <w:szCs w:val="24"/>
              </w:rPr>
              <w:t>藥品許可證共</w:t>
            </w:r>
            <w:r w:rsidR="00702ED1" w:rsidRPr="00AE7D75">
              <w:rPr>
                <w:rFonts w:ascii="Times New Roman" w:eastAsia="標楷體" w:hAnsi="Times New Roman" w:cs="Times New Roman"/>
                <w:b w:val="0"/>
                <w:sz w:val="24"/>
                <w:szCs w:val="24"/>
                <w:u w:val="single"/>
              </w:rPr>
              <w:t xml:space="preserve"> </w:t>
            </w:r>
            <w:r w:rsidR="000723C9" w:rsidRPr="00AE7D75">
              <w:rPr>
                <w:rFonts w:ascii="Times New Roman" w:eastAsia="標楷體" w:hAnsi="Times New Roman" w:cs="Times New Roman"/>
                <w:b w:val="0"/>
                <w:sz w:val="24"/>
                <w:szCs w:val="24"/>
                <w:u w:val="single"/>
              </w:rPr>
              <w:t>1</w:t>
            </w:r>
            <w:r w:rsidR="00702ED1" w:rsidRPr="00AE7D75">
              <w:rPr>
                <w:rFonts w:ascii="Times New Roman" w:eastAsia="標楷體" w:hAnsi="Times New Roman" w:cs="Times New Roman"/>
                <w:b w:val="0"/>
                <w:sz w:val="24"/>
                <w:szCs w:val="24"/>
                <w:u w:val="single"/>
              </w:rPr>
              <w:t xml:space="preserve"> </w:t>
            </w:r>
            <w:r w:rsidR="000723C9" w:rsidRPr="00AE7D75">
              <w:rPr>
                <w:rFonts w:ascii="Times New Roman" w:eastAsia="標楷體" w:hAnsi="標楷體" w:cs="Times New Roman"/>
                <w:b w:val="0"/>
                <w:sz w:val="24"/>
                <w:szCs w:val="24"/>
              </w:rPr>
              <w:t>張，</w:t>
            </w:r>
          </w:p>
          <w:p w:rsidR="00CE5D45" w:rsidRPr="00AE7D75" w:rsidRDefault="00CE5D45" w:rsidP="000723C9">
            <w:pPr>
              <w:pStyle w:val="1"/>
              <w:spacing w:before="0" w:beforeAutospacing="0" w:after="0" w:afterAutospacing="0" w:line="240" w:lineRule="atLeast"/>
              <w:ind w:leftChars="125" w:left="300" w:firstLine="1"/>
              <w:jc w:val="both"/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</w:pPr>
            <w:r w:rsidRPr="00AE7D75">
              <w:rPr>
                <w:rFonts w:ascii="Times New Roman" w:eastAsia="標楷體" w:hAnsi="標楷體" w:cs="Times New Roman"/>
                <w:b w:val="0"/>
                <w:sz w:val="24"/>
                <w:szCs w:val="24"/>
              </w:rPr>
              <w:t>含</w:t>
            </w:r>
            <w:r w:rsidRPr="00AE7D75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ketamine</w:t>
            </w:r>
            <w:r w:rsidRPr="00AE7D75">
              <w:rPr>
                <w:rFonts w:ascii="Times New Roman" w:eastAsia="標楷體" w:hAnsi="標楷體" w:cs="Times New Roman"/>
                <w:b w:val="0"/>
                <w:sz w:val="24"/>
                <w:szCs w:val="24"/>
              </w:rPr>
              <w:t>成分</w:t>
            </w:r>
            <w:r w:rsidR="00702ED1" w:rsidRPr="00AE7D75">
              <w:rPr>
                <w:rFonts w:ascii="Times New Roman" w:eastAsia="標楷體" w:hAnsi="標楷體" w:cs="Times New Roman"/>
                <w:b w:val="0"/>
                <w:sz w:val="24"/>
                <w:szCs w:val="24"/>
              </w:rPr>
              <w:t>製劑之</w:t>
            </w:r>
            <w:r w:rsidRPr="00AE7D75">
              <w:rPr>
                <w:rFonts w:ascii="Times New Roman" w:eastAsia="標楷體" w:hAnsi="標楷體" w:cs="Times New Roman"/>
                <w:b w:val="0"/>
                <w:sz w:val="24"/>
                <w:szCs w:val="24"/>
              </w:rPr>
              <w:t>藥品許可證共</w:t>
            </w:r>
            <w:r w:rsidR="00702ED1" w:rsidRPr="00AE7D75">
              <w:rPr>
                <w:rFonts w:ascii="Times New Roman" w:eastAsia="標楷體" w:hAnsi="Times New Roman" w:cs="Times New Roman"/>
                <w:b w:val="0"/>
                <w:sz w:val="24"/>
                <w:szCs w:val="24"/>
                <w:u w:val="single"/>
              </w:rPr>
              <w:t xml:space="preserve"> </w:t>
            </w:r>
            <w:r w:rsidR="000723C9" w:rsidRPr="00AE7D75">
              <w:rPr>
                <w:rFonts w:ascii="Times New Roman" w:eastAsia="標楷體" w:hAnsi="Times New Roman" w:cs="Times New Roman"/>
                <w:b w:val="0"/>
                <w:sz w:val="24"/>
                <w:szCs w:val="24"/>
                <w:u w:val="single"/>
              </w:rPr>
              <w:t>5</w:t>
            </w:r>
            <w:r w:rsidR="00702ED1" w:rsidRPr="00AE7D75">
              <w:rPr>
                <w:rFonts w:ascii="Times New Roman" w:eastAsia="標楷體" w:hAnsi="Times New Roman" w:cs="Times New Roman"/>
                <w:b w:val="0"/>
                <w:sz w:val="24"/>
                <w:szCs w:val="24"/>
                <w:u w:val="single"/>
              </w:rPr>
              <w:t xml:space="preserve"> </w:t>
            </w:r>
            <w:r w:rsidR="000723C9" w:rsidRPr="00AE7D75">
              <w:rPr>
                <w:rFonts w:ascii="Times New Roman" w:eastAsia="標楷體" w:hAnsi="標楷體" w:cs="Times New Roman"/>
                <w:b w:val="0"/>
                <w:sz w:val="24"/>
                <w:szCs w:val="24"/>
              </w:rPr>
              <w:t>張，</w:t>
            </w:r>
          </w:p>
          <w:p w:rsidR="00CE5D45" w:rsidRPr="00AE7D75" w:rsidRDefault="00CE5D45" w:rsidP="000723C9">
            <w:pPr>
              <w:pStyle w:val="1"/>
              <w:spacing w:before="0" w:beforeAutospacing="0" w:after="0" w:afterAutospacing="0" w:line="240" w:lineRule="atLeast"/>
              <w:ind w:leftChars="125" w:left="300" w:firstLine="1"/>
              <w:jc w:val="both"/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</w:pPr>
            <w:r w:rsidRPr="00AE7D75">
              <w:rPr>
                <w:rFonts w:ascii="Times New Roman" w:eastAsia="標楷體" w:hAnsi="標楷體" w:cs="Times New Roman"/>
                <w:b w:val="0"/>
                <w:sz w:val="24"/>
                <w:szCs w:val="24"/>
              </w:rPr>
              <w:t>含</w:t>
            </w:r>
            <w:proofErr w:type="spellStart"/>
            <w:r w:rsidRPr="00AE7D75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propofol</w:t>
            </w:r>
            <w:proofErr w:type="spellEnd"/>
            <w:r w:rsidRPr="00AE7D75">
              <w:rPr>
                <w:rFonts w:ascii="Times New Roman" w:eastAsia="標楷體" w:hAnsi="標楷體" w:cs="Times New Roman"/>
                <w:b w:val="0"/>
                <w:sz w:val="24"/>
                <w:szCs w:val="24"/>
              </w:rPr>
              <w:t>成分</w:t>
            </w:r>
            <w:r w:rsidR="00702ED1" w:rsidRPr="00AE7D75">
              <w:rPr>
                <w:rFonts w:ascii="Times New Roman" w:eastAsia="標楷體" w:hAnsi="標楷體" w:cs="Times New Roman"/>
                <w:b w:val="0"/>
                <w:sz w:val="24"/>
                <w:szCs w:val="24"/>
              </w:rPr>
              <w:t>製劑之</w:t>
            </w:r>
            <w:r w:rsidRPr="00AE7D75">
              <w:rPr>
                <w:rFonts w:ascii="Times New Roman" w:eastAsia="標楷體" w:hAnsi="標楷體" w:cs="Times New Roman"/>
                <w:b w:val="0"/>
                <w:sz w:val="24"/>
                <w:szCs w:val="24"/>
              </w:rPr>
              <w:t>藥品許可證共</w:t>
            </w:r>
            <w:r w:rsidR="00702ED1" w:rsidRPr="00AE7D75">
              <w:rPr>
                <w:rFonts w:ascii="Times New Roman" w:eastAsia="標楷體" w:hAnsi="Times New Roman" w:cs="Times New Roman"/>
                <w:b w:val="0"/>
                <w:sz w:val="24"/>
                <w:szCs w:val="24"/>
                <w:u w:val="single"/>
              </w:rPr>
              <w:t xml:space="preserve"> </w:t>
            </w:r>
            <w:r w:rsidR="000723C9" w:rsidRPr="00AE7D75">
              <w:rPr>
                <w:rFonts w:ascii="Times New Roman" w:eastAsia="標楷體" w:hAnsi="Times New Roman" w:cs="Times New Roman"/>
                <w:b w:val="0"/>
                <w:sz w:val="24"/>
                <w:szCs w:val="24"/>
                <w:u w:val="single"/>
              </w:rPr>
              <w:t>14</w:t>
            </w:r>
            <w:r w:rsidR="00702ED1" w:rsidRPr="00AE7D75">
              <w:rPr>
                <w:rFonts w:ascii="Times New Roman" w:eastAsia="標楷體" w:hAnsi="Times New Roman" w:cs="Times New Roman"/>
                <w:b w:val="0"/>
                <w:sz w:val="24"/>
                <w:szCs w:val="24"/>
                <w:u w:val="single"/>
              </w:rPr>
              <w:t xml:space="preserve"> </w:t>
            </w:r>
            <w:r w:rsidR="000723C9" w:rsidRPr="00AE7D75">
              <w:rPr>
                <w:rFonts w:ascii="Times New Roman" w:eastAsia="標楷體" w:hAnsi="標楷體" w:cs="Times New Roman"/>
                <w:b w:val="0"/>
                <w:sz w:val="24"/>
                <w:szCs w:val="24"/>
              </w:rPr>
              <w:t>張，</w:t>
            </w:r>
            <w:bookmarkStart w:id="0" w:name="_GoBack"/>
            <w:bookmarkEnd w:id="0"/>
          </w:p>
          <w:p w:rsidR="00CE5D45" w:rsidRPr="00AE7D75" w:rsidRDefault="00CE5D45" w:rsidP="000723C9">
            <w:pPr>
              <w:pStyle w:val="1"/>
              <w:spacing w:before="0" w:beforeAutospacing="0" w:after="0" w:afterAutospacing="0" w:line="240" w:lineRule="atLeast"/>
              <w:ind w:leftChars="125" w:left="300" w:firstLine="1"/>
              <w:jc w:val="both"/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</w:pPr>
            <w:r w:rsidRPr="00AE7D75">
              <w:rPr>
                <w:rFonts w:ascii="Times New Roman" w:eastAsia="標楷體" w:hAnsi="標楷體" w:cs="Times New Roman"/>
                <w:b w:val="0"/>
                <w:sz w:val="24"/>
                <w:szCs w:val="24"/>
              </w:rPr>
              <w:t>含</w:t>
            </w:r>
            <w:r w:rsidR="000723C9" w:rsidRPr="00AE7D75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lorazepam</w:t>
            </w:r>
            <w:r w:rsidRPr="00AE7D75">
              <w:rPr>
                <w:rFonts w:ascii="Times New Roman" w:eastAsia="標楷體" w:hAnsi="標楷體" w:cs="Times New Roman"/>
                <w:b w:val="0"/>
                <w:sz w:val="24"/>
                <w:szCs w:val="24"/>
              </w:rPr>
              <w:t>成分</w:t>
            </w:r>
            <w:r w:rsidR="000723C9" w:rsidRPr="00AE7D75">
              <w:rPr>
                <w:rFonts w:ascii="Times New Roman" w:eastAsia="標楷體" w:hAnsi="標楷體" w:cs="Times New Roman"/>
                <w:b w:val="0"/>
                <w:sz w:val="24"/>
                <w:szCs w:val="24"/>
              </w:rPr>
              <w:t>注射劑</w:t>
            </w:r>
            <w:r w:rsidR="00702ED1" w:rsidRPr="00AE7D75">
              <w:rPr>
                <w:rFonts w:ascii="Times New Roman" w:eastAsia="標楷體" w:hAnsi="標楷體" w:cs="Times New Roman"/>
                <w:b w:val="0"/>
                <w:sz w:val="24"/>
                <w:szCs w:val="24"/>
              </w:rPr>
              <w:t>之</w:t>
            </w:r>
            <w:r w:rsidRPr="00AE7D75">
              <w:rPr>
                <w:rFonts w:ascii="Times New Roman" w:eastAsia="標楷體" w:hAnsi="標楷體" w:cs="Times New Roman"/>
                <w:b w:val="0"/>
                <w:sz w:val="24"/>
                <w:szCs w:val="24"/>
              </w:rPr>
              <w:t>藥品許可證共</w:t>
            </w:r>
            <w:r w:rsidR="00702ED1" w:rsidRPr="00AE7D75">
              <w:rPr>
                <w:rFonts w:ascii="Times New Roman" w:eastAsia="標楷體" w:hAnsi="Times New Roman" w:cs="Times New Roman"/>
                <w:b w:val="0"/>
                <w:sz w:val="24"/>
                <w:szCs w:val="24"/>
                <w:u w:val="single"/>
              </w:rPr>
              <w:t xml:space="preserve"> </w:t>
            </w:r>
            <w:r w:rsidR="000723C9" w:rsidRPr="00AE7D75">
              <w:rPr>
                <w:rFonts w:ascii="Times New Roman" w:eastAsia="標楷體" w:hAnsi="Times New Roman" w:cs="Times New Roman"/>
                <w:b w:val="0"/>
                <w:sz w:val="24"/>
                <w:szCs w:val="24"/>
                <w:u w:val="single"/>
              </w:rPr>
              <w:t>2</w:t>
            </w:r>
            <w:r w:rsidR="00702ED1" w:rsidRPr="00AE7D75">
              <w:rPr>
                <w:rFonts w:ascii="Times New Roman" w:eastAsia="標楷體" w:hAnsi="Times New Roman" w:cs="Times New Roman"/>
                <w:b w:val="0"/>
                <w:sz w:val="24"/>
                <w:szCs w:val="24"/>
                <w:u w:val="single"/>
              </w:rPr>
              <w:t xml:space="preserve"> </w:t>
            </w:r>
            <w:r w:rsidR="000723C9" w:rsidRPr="00AE7D75">
              <w:rPr>
                <w:rFonts w:ascii="Times New Roman" w:eastAsia="標楷體" w:hAnsi="標楷體" w:cs="Times New Roman"/>
                <w:b w:val="0"/>
                <w:sz w:val="24"/>
                <w:szCs w:val="24"/>
              </w:rPr>
              <w:t>張，</w:t>
            </w:r>
          </w:p>
          <w:p w:rsidR="00CE5D45" w:rsidRPr="00AE7D75" w:rsidRDefault="00CE5D45" w:rsidP="000723C9">
            <w:pPr>
              <w:pStyle w:val="1"/>
              <w:spacing w:before="0" w:beforeAutospacing="0" w:after="0" w:afterAutospacing="0" w:line="240" w:lineRule="atLeast"/>
              <w:ind w:leftChars="125" w:left="300" w:firstLine="1"/>
              <w:jc w:val="both"/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</w:pPr>
            <w:r w:rsidRPr="00AE7D75">
              <w:rPr>
                <w:rFonts w:ascii="Times New Roman" w:eastAsia="標楷體" w:hAnsi="標楷體" w:cs="Times New Roman"/>
                <w:b w:val="0"/>
                <w:sz w:val="24"/>
                <w:szCs w:val="24"/>
              </w:rPr>
              <w:t>含</w:t>
            </w:r>
            <w:r w:rsidRPr="00AE7D75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midazolam</w:t>
            </w:r>
            <w:r w:rsidRPr="00AE7D75">
              <w:rPr>
                <w:rFonts w:ascii="Times New Roman" w:eastAsia="標楷體" w:hAnsi="標楷體" w:cs="Times New Roman"/>
                <w:b w:val="0"/>
                <w:sz w:val="24"/>
                <w:szCs w:val="24"/>
              </w:rPr>
              <w:t>成分</w:t>
            </w:r>
            <w:r w:rsidR="000723C9" w:rsidRPr="00AE7D75">
              <w:rPr>
                <w:rFonts w:ascii="Times New Roman" w:eastAsia="標楷體" w:hAnsi="標楷體" w:cs="Times New Roman"/>
                <w:b w:val="0"/>
                <w:sz w:val="24"/>
                <w:szCs w:val="24"/>
              </w:rPr>
              <w:t>注射劑</w:t>
            </w:r>
            <w:r w:rsidR="00702ED1" w:rsidRPr="00AE7D75">
              <w:rPr>
                <w:rFonts w:ascii="Times New Roman" w:eastAsia="標楷體" w:hAnsi="標楷體" w:cs="Times New Roman"/>
                <w:b w:val="0"/>
                <w:sz w:val="24"/>
                <w:szCs w:val="24"/>
              </w:rPr>
              <w:t>之</w:t>
            </w:r>
            <w:r w:rsidRPr="00AE7D75">
              <w:rPr>
                <w:rFonts w:ascii="Times New Roman" w:eastAsia="標楷體" w:hAnsi="標楷體" w:cs="Times New Roman"/>
                <w:b w:val="0"/>
                <w:sz w:val="24"/>
                <w:szCs w:val="24"/>
              </w:rPr>
              <w:t>藥品許可證共</w:t>
            </w:r>
            <w:r w:rsidR="00702ED1" w:rsidRPr="00AE7D75">
              <w:rPr>
                <w:rFonts w:ascii="Times New Roman" w:eastAsia="標楷體" w:hAnsi="Times New Roman" w:cs="Times New Roman"/>
                <w:b w:val="0"/>
                <w:sz w:val="24"/>
                <w:szCs w:val="24"/>
                <w:u w:val="single"/>
              </w:rPr>
              <w:t xml:space="preserve"> </w:t>
            </w:r>
            <w:r w:rsidR="000723C9" w:rsidRPr="00AE7D75">
              <w:rPr>
                <w:rFonts w:ascii="Times New Roman" w:eastAsia="標楷體" w:hAnsi="Times New Roman" w:cs="Times New Roman"/>
                <w:b w:val="0"/>
                <w:sz w:val="24"/>
                <w:szCs w:val="24"/>
                <w:u w:val="single"/>
              </w:rPr>
              <w:t>8</w:t>
            </w:r>
            <w:r w:rsidR="00702ED1" w:rsidRPr="00AE7D75">
              <w:rPr>
                <w:rFonts w:ascii="Times New Roman" w:eastAsia="標楷體" w:hAnsi="Times New Roman" w:cs="Times New Roman"/>
                <w:b w:val="0"/>
                <w:sz w:val="24"/>
                <w:szCs w:val="24"/>
                <w:u w:val="single"/>
              </w:rPr>
              <w:t xml:space="preserve"> </w:t>
            </w:r>
            <w:r w:rsidR="000723C9" w:rsidRPr="00AE7D75">
              <w:rPr>
                <w:rFonts w:ascii="Times New Roman" w:eastAsia="標楷體" w:hAnsi="標楷體" w:cs="Times New Roman"/>
                <w:b w:val="0"/>
                <w:sz w:val="24"/>
                <w:szCs w:val="24"/>
              </w:rPr>
              <w:t>張</w:t>
            </w:r>
            <w:r w:rsidR="00702ED1" w:rsidRPr="00AE7D75">
              <w:rPr>
                <w:rFonts w:ascii="Times New Roman" w:eastAsia="標楷體" w:hAnsi="標楷體" w:cs="Times New Roman"/>
                <w:b w:val="0"/>
                <w:sz w:val="24"/>
                <w:szCs w:val="24"/>
              </w:rPr>
              <w:t>；</w:t>
            </w:r>
          </w:p>
          <w:p w:rsidR="00702ED1" w:rsidRPr="00AE7D75" w:rsidRDefault="00911ACD" w:rsidP="00702ED1">
            <w:pPr>
              <w:pStyle w:val="1"/>
              <w:spacing w:before="0" w:beforeAutospacing="0" w:after="0" w:afterAutospacing="0" w:line="240" w:lineRule="atLeast"/>
              <w:jc w:val="both"/>
              <w:rPr>
                <w:rFonts w:ascii="Times New Roman" w:eastAsia="標楷體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AE7D75">
              <w:rPr>
                <w:rFonts w:ascii="Times New Roman" w:eastAsia="標楷體" w:hAnsi="標楷體" w:cs="Times New Roman"/>
                <w:b w:val="0"/>
                <w:bCs w:val="0"/>
                <w:color w:val="000000" w:themeColor="text1"/>
                <w:sz w:val="24"/>
                <w:szCs w:val="24"/>
              </w:rPr>
              <w:t>網址：</w:t>
            </w:r>
            <w:hyperlink r:id="rId9" w:history="1">
              <w:r w:rsidR="00702ED1" w:rsidRPr="00AE7D75">
                <w:rPr>
                  <w:rStyle w:val="ab"/>
                  <w:rFonts w:ascii="Times New Roman" w:eastAsia="標楷體" w:hAnsi="Times New Roman"/>
                  <w:b w:val="0"/>
                  <w:bCs w:val="0"/>
                  <w:sz w:val="24"/>
                  <w:szCs w:val="24"/>
                </w:rPr>
                <w:t>http://www.fda.gov.tw/MLMS/H0001.aspx</w:t>
              </w:r>
            </w:hyperlink>
          </w:p>
        </w:tc>
      </w:tr>
      <w:tr w:rsidR="00911ACD" w:rsidRPr="00AE7D75" w:rsidTr="007C418C">
        <w:trPr>
          <w:trHeight w:val="333"/>
          <w:jc w:val="center"/>
        </w:trPr>
        <w:tc>
          <w:tcPr>
            <w:tcW w:w="2268" w:type="dxa"/>
            <w:vAlign w:val="center"/>
          </w:tcPr>
          <w:p w:rsidR="00911ACD" w:rsidRPr="00AE7D75" w:rsidRDefault="00911ACD" w:rsidP="009424B6">
            <w:pPr>
              <w:jc w:val="center"/>
              <w:rPr>
                <w:rFonts w:ascii="Times New Roman" w:eastAsia="標楷體" w:hAnsi="Times New Roman"/>
              </w:rPr>
            </w:pPr>
            <w:r w:rsidRPr="00AE7D75">
              <w:rPr>
                <w:rFonts w:ascii="Times New Roman" w:eastAsia="標楷體" w:hAnsi="標楷體"/>
                <w:color w:val="000000"/>
              </w:rPr>
              <w:t>適應症</w:t>
            </w:r>
          </w:p>
        </w:tc>
        <w:tc>
          <w:tcPr>
            <w:tcW w:w="7994" w:type="dxa"/>
            <w:shd w:val="clear" w:color="auto" w:fill="auto"/>
          </w:tcPr>
          <w:p w:rsidR="00911ACD" w:rsidRPr="00AE7D75" w:rsidRDefault="000D78D3" w:rsidP="002445F4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E7D75">
              <w:rPr>
                <w:rFonts w:ascii="Times New Roman" w:eastAsia="標楷體" w:hAnsi="標楷體"/>
                <w:color w:val="000000" w:themeColor="text1"/>
                <w:szCs w:val="24"/>
              </w:rPr>
              <w:t>全身性麻醉劑或鎮靜劑</w:t>
            </w:r>
            <w:r w:rsidR="002445F4">
              <w:rPr>
                <w:rFonts w:ascii="Times New Roman" w:eastAsia="標楷體" w:hAnsi="標楷體"/>
                <w:color w:val="000000" w:themeColor="text1"/>
                <w:szCs w:val="24"/>
              </w:rPr>
              <w:t>（</w:t>
            </w:r>
            <w:r w:rsidR="002445F4" w:rsidRPr="00AE7D75">
              <w:rPr>
                <w:rFonts w:ascii="Times New Roman" w:eastAsia="標楷體" w:hAnsi="標楷體"/>
                <w:color w:val="000000" w:themeColor="text1"/>
                <w:szCs w:val="24"/>
              </w:rPr>
              <w:t>詳如附件</w:t>
            </w:r>
            <w:r w:rsidR="002445F4">
              <w:rPr>
                <w:rFonts w:ascii="Times New Roman" w:eastAsia="標楷體" w:hAnsi="標楷體"/>
                <w:color w:val="000000" w:themeColor="text1"/>
                <w:szCs w:val="24"/>
              </w:rPr>
              <w:t>）</w:t>
            </w:r>
            <w:r w:rsidR="002445F4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。</w:t>
            </w:r>
          </w:p>
        </w:tc>
      </w:tr>
      <w:tr w:rsidR="00911ACD" w:rsidRPr="00AE7D75" w:rsidTr="007C418C">
        <w:trPr>
          <w:jc w:val="center"/>
        </w:trPr>
        <w:tc>
          <w:tcPr>
            <w:tcW w:w="2268" w:type="dxa"/>
            <w:vAlign w:val="center"/>
          </w:tcPr>
          <w:p w:rsidR="00911ACD" w:rsidRPr="00AE7D75" w:rsidRDefault="00911ACD" w:rsidP="009424B6">
            <w:pPr>
              <w:jc w:val="center"/>
              <w:rPr>
                <w:rFonts w:ascii="Times New Roman" w:eastAsia="標楷體" w:hAnsi="Times New Roman"/>
              </w:rPr>
            </w:pPr>
            <w:r w:rsidRPr="00AE7D75">
              <w:rPr>
                <w:rFonts w:ascii="Times New Roman" w:eastAsia="標楷體" w:hAnsi="標楷體"/>
              </w:rPr>
              <w:t>藥理作用機轉</w:t>
            </w:r>
          </w:p>
        </w:tc>
        <w:tc>
          <w:tcPr>
            <w:tcW w:w="7994" w:type="dxa"/>
            <w:shd w:val="clear" w:color="auto" w:fill="auto"/>
          </w:tcPr>
          <w:p w:rsidR="00911ACD" w:rsidRPr="00AE7D75" w:rsidRDefault="008D1FC4" w:rsidP="00853ECD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E7D75">
              <w:rPr>
                <w:rFonts w:ascii="Times New Roman" w:eastAsia="標楷體" w:hAnsi="標楷體"/>
                <w:color w:val="000000" w:themeColor="text1"/>
                <w:szCs w:val="24"/>
              </w:rPr>
              <w:t>阻斷</w:t>
            </w:r>
            <w:r w:rsidR="00E14DF3" w:rsidRPr="00AE7D75">
              <w:rPr>
                <w:rFonts w:ascii="Times New Roman" w:eastAsia="標楷體" w:hAnsi="Times New Roman"/>
                <w:i/>
                <w:color w:val="000000" w:themeColor="text1"/>
                <w:szCs w:val="24"/>
              </w:rPr>
              <w:t>N</w:t>
            </w:r>
            <w:r w:rsidR="00E14DF3" w:rsidRPr="00AE7D75">
              <w:rPr>
                <w:rFonts w:ascii="Times New Roman" w:eastAsia="標楷體" w:hAnsi="Times New Roman"/>
                <w:color w:val="000000" w:themeColor="text1"/>
                <w:szCs w:val="24"/>
              </w:rPr>
              <w:t>-methyl-</w:t>
            </w:r>
            <w:r w:rsidR="00E14DF3" w:rsidRPr="00AE7D75">
              <w:rPr>
                <w:rFonts w:ascii="Times New Roman" w:eastAsia="標楷體" w:hAnsi="Times New Roman"/>
                <w:smallCaps/>
                <w:color w:val="000000" w:themeColor="text1"/>
                <w:szCs w:val="24"/>
              </w:rPr>
              <w:t>d</w:t>
            </w:r>
            <w:r w:rsidR="00E14DF3" w:rsidRPr="00AE7D75">
              <w:rPr>
                <w:rFonts w:ascii="Times New Roman" w:eastAsia="標楷體" w:hAnsi="Times New Roman"/>
                <w:color w:val="000000" w:themeColor="text1"/>
                <w:szCs w:val="24"/>
              </w:rPr>
              <w:t>-aspartate (NMDA)</w:t>
            </w:r>
            <w:r w:rsidR="00AE7D7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proofErr w:type="gramStart"/>
            <w:r w:rsidR="00E14DF3" w:rsidRPr="00AE7D75">
              <w:rPr>
                <w:rFonts w:ascii="Times New Roman" w:eastAsia="標楷體" w:hAnsi="標楷體"/>
                <w:color w:val="000000" w:themeColor="text1"/>
                <w:szCs w:val="24"/>
              </w:rPr>
              <w:t>受器或</w:t>
            </w:r>
            <w:proofErr w:type="gramEnd"/>
            <w:r w:rsidR="00E14DF3" w:rsidRPr="00AE7D75">
              <w:rPr>
                <w:rFonts w:ascii="Times New Roman" w:eastAsia="標楷體" w:hAnsi="標楷體"/>
                <w:color w:val="000000" w:themeColor="text1"/>
                <w:szCs w:val="24"/>
              </w:rPr>
              <w:t>促進</w:t>
            </w:r>
            <w:r w:rsidR="00AE7D75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 xml:space="preserve"> </w:t>
            </w:r>
            <w:r w:rsidR="00E14DF3" w:rsidRPr="00AE7D75">
              <w:rPr>
                <w:rFonts w:ascii="Times New Roman" w:eastAsia="標楷體" w:hAnsi="Times New Roman"/>
                <w:color w:val="000000" w:themeColor="text1"/>
                <w:szCs w:val="24"/>
              </w:rPr>
              <w:t>γ-aminobutyric acid (GABA)</w:t>
            </w:r>
            <w:r w:rsidR="00AE7D7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="00E14DF3" w:rsidRPr="00AE7D75">
              <w:rPr>
                <w:rFonts w:ascii="Times New Roman" w:eastAsia="標楷體" w:hAnsi="標楷體"/>
                <w:color w:val="000000" w:themeColor="text1"/>
                <w:szCs w:val="24"/>
              </w:rPr>
              <w:t>活性。</w:t>
            </w:r>
          </w:p>
        </w:tc>
      </w:tr>
      <w:tr w:rsidR="00911ACD" w:rsidRPr="00AE7D75" w:rsidTr="007C418C">
        <w:trPr>
          <w:trHeight w:val="896"/>
          <w:jc w:val="center"/>
        </w:trPr>
        <w:tc>
          <w:tcPr>
            <w:tcW w:w="2268" w:type="dxa"/>
            <w:vAlign w:val="center"/>
          </w:tcPr>
          <w:p w:rsidR="00911ACD" w:rsidRPr="00AE7D75" w:rsidRDefault="00911ACD" w:rsidP="009424B6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E7D75">
              <w:rPr>
                <w:rFonts w:ascii="Times New Roman" w:eastAsia="標楷體" w:hAnsi="標楷體"/>
                <w:color w:val="000000"/>
              </w:rPr>
              <w:t>訊息緣由</w:t>
            </w:r>
          </w:p>
        </w:tc>
        <w:tc>
          <w:tcPr>
            <w:tcW w:w="7994" w:type="dxa"/>
          </w:tcPr>
          <w:p w:rsidR="00911ACD" w:rsidRPr="00AE7D75" w:rsidRDefault="00E14DF3" w:rsidP="008D1FC4">
            <w:pPr>
              <w:ind w:left="17" w:firstLineChars="7" w:firstLine="17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E7D75">
              <w:rPr>
                <w:rFonts w:ascii="Times New Roman" w:eastAsia="標楷體" w:hAnsi="標楷體"/>
                <w:color w:val="000000" w:themeColor="text1"/>
                <w:szCs w:val="24"/>
              </w:rPr>
              <w:t>美國</w:t>
            </w:r>
            <w:r w:rsidRPr="00AE7D75">
              <w:rPr>
                <w:rFonts w:ascii="Times New Roman" w:eastAsia="標楷體" w:hAnsi="Times New Roman"/>
                <w:color w:val="000000" w:themeColor="text1"/>
                <w:szCs w:val="24"/>
              </w:rPr>
              <w:t>FDA</w:t>
            </w:r>
            <w:r w:rsidRPr="00AE7D75">
              <w:rPr>
                <w:rFonts w:ascii="Times New Roman" w:eastAsia="標楷體" w:hAnsi="標楷體"/>
                <w:color w:val="000000" w:themeColor="text1"/>
                <w:szCs w:val="24"/>
              </w:rPr>
              <w:t>發布藥品安全溝通訊息指出，</w:t>
            </w:r>
            <w:r w:rsidRPr="00AE7D75">
              <w:rPr>
                <w:rFonts w:ascii="Times New Roman" w:eastAsia="標楷體" w:hAnsi="標楷體"/>
                <w:color w:val="000000"/>
              </w:rPr>
              <w:t>第三孕期的孕婦和未滿三歲的幼童若</w:t>
            </w:r>
            <w:r w:rsidR="008D1FC4" w:rsidRPr="00AE7D75">
              <w:rPr>
                <w:rFonts w:ascii="Times New Roman" w:eastAsia="標楷體" w:hAnsi="標楷體"/>
                <w:color w:val="000000"/>
              </w:rPr>
              <w:t>長時間或</w:t>
            </w:r>
            <w:r w:rsidRPr="00AE7D75">
              <w:rPr>
                <w:rFonts w:ascii="Times New Roman" w:eastAsia="標楷體" w:hAnsi="標楷體"/>
                <w:color w:val="000000"/>
              </w:rPr>
              <w:t>反覆使用全身性麻醉</w:t>
            </w:r>
            <w:r w:rsidR="008D1FC4" w:rsidRPr="00AE7D75">
              <w:rPr>
                <w:rFonts w:ascii="Times New Roman" w:eastAsia="標楷體" w:hAnsi="標楷體"/>
                <w:color w:val="000000"/>
              </w:rPr>
              <w:t>劑及鎮靜劑</w:t>
            </w:r>
            <w:r w:rsidRPr="00AE7D75">
              <w:rPr>
                <w:rFonts w:ascii="Times New Roman" w:eastAsia="標楷體" w:hAnsi="標楷體"/>
                <w:color w:val="000000"/>
              </w:rPr>
              <w:t>，可能影響胎兒或幼兒腦部發育。網址：</w:t>
            </w:r>
            <w:hyperlink r:id="rId10" w:tgtFrame="_blank" w:history="1">
              <w:r w:rsidRPr="00AE7D75">
                <w:rPr>
                  <w:rStyle w:val="ab"/>
                  <w:rFonts w:ascii="Times New Roman" w:eastAsia="標楷體" w:hAnsi="Times New Roman"/>
                </w:rPr>
                <w:t>http://www.fda.gov/Safety/MedWatch/SafetyInformation/SafetyAlertsforHumanMedicalProducts/ucm533195.htm</w:t>
              </w:r>
            </w:hyperlink>
          </w:p>
        </w:tc>
      </w:tr>
      <w:tr w:rsidR="00911ACD" w:rsidRPr="00AE7D75" w:rsidTr="007C418C">
        <w:trPr>
          <w:trHeight w:val="3231"/>
          <w:jc w:val="center"/>
        </w:trPr>
        <w:tc>
          <w:tcPr>
            <w:tcW w:w="2268" w:type="dxa"/>
            <w:vAlign w:val="center"/>
          </w:tcPr>
          <w:p w:rsidR="00911ACD" w:rsidRPr="00AE7D75" w:rsidRDefault="00911ACD" w:rsidP="009424B6">
            <w:pPr>
              <w:jc w:val="center"/>
              <w:rPr>
                <w:rFonts w:ascii="Times New Roman" w:eastAsia="標楷體" w:hAnsi="Times New Roman"/>
              </w:rPr>
            </w:pPr>
            <w:r w:rsidRPr="00AE7D75">
              <w:rPr>
                <w:rFonts w:ascii="Times New Roman" w:eastAsia="標楷體" w:hAnsi="標楷體"/>
              </w:rPr>
              <w:t>藥品安全有關資訊分析及描述</w:t>
            </w:r>
          </w:p>
        </w:tc>
        <w:tc>
          <w:tcPr>
            <w:tcW w:w="7994" w:type="dxa"/>
          </w:tcPr>
          <w:p w:rsidR="00302612" w:rsidRPr="00302612" w:rsidRDefault="00920D2B" w:rsidP="007B666F">
            <w:pPr>
              <w:pStyle w:val="a9"/>
              <w:numPr>
                <w:ilvl w:val="0"/>
                <w:numId w:val="6"/>
              </w:numPr>
              <w:spacing w:afterLines="50" w:after="180"/>
              <w:ind w:leftChars="0"/>
              <w:rPr>
                <w:rFonts w:ascii="Times New Roman" w:eastAsia="標楷體" w:hAnsi="Times New Roman"/>
              </w:rPr>
            </w:pPr>
            <w:r w:rsidRPr="00302612">
              <w:rPr>
                <w:rFonts w:ascii="Times New Roman" w:eastAsia="標楷體" w:hAnsi="標楷體"/>
              </w:rPr>
              <w:t>動物實驗發現，使用</w:t>
            </w:r>
            <w:r w:rsidR="008D1FC4" w:rsidRPr="00302612">
              <w:rPr>
                <w:rFonts w:ascii="Times New Roman" w:eastAsia="標楷體" w:hAnsi="標楷體"/>
              </w:rPr>
              <w:t>阻斷</w:t>
            </w:r>
            <w:r w:rsidRPr="00302612">
              <w:rPr>
                <w:rFonts w:ascii="Times New Roman" w:eastAsia="標楷體" w:hAnsi="Times New Roman"/>
              </w:rPr>
              <w:t>NMDA</w:t>
            </w:r>
            <w:proofErr w:type="gramStart"/>
            <w:r w:rsidRPr="00302612">
              <w:rPr>
                <w:rFonts w:ascii="Times New Roman" w:eastAsia="標楷體" w:hAnsi="標楷體"/>
              </w:rPr>
              <w:t>受器和</w:t>
            </w:r>
            <w:proofErr w:type="gramEnd"/>
            <w:r w:rsidRPr="00302612">
              <w:rPr>
                <w:rFonts w:ascii="Times New Roman" w:eastAsia="標楷體" w:hAnsi="標楷體"/>
              </w:rPr>
              <w:t>促進</w:t>
            </w:r>
            <w:r w:rsidRPr="00302612">
              <w:rPr>
                <w:rFonts w:ascii="Times New Roman" w:eastAsia="標楷體" w:hAnsi="Times New Roman"/>
              </w:rPr>
              <w:t>GABA</w:t>
            </w:r>
            <w:r w:rsidRPr="00302612">
              <w:rPr>
                <w:rFonts w:ascii="Times New Roman" w:eastAsia="標楷體" w:hAnsi="標楷體"/>
              </w:rPr>
              <w:t>活性的麻醉劑及鎮靜劑超過三小時，會增加腦部神經凋亡</w:t>
            </w:r>
            <w:r w:rsidR="00302612" w:rsidRPr="00302612">
              <w:rPr>
                <w:rFonts w:ascii="Times New Roman" w:eastAsia="標楷體" w:hAnsi="標楷體"/>
              </w:rPr>
              <w:t>（</w:t>
            </w:r>
            <w:r w:rsidR="00302612" w:rsidRPr="00302612">
              <w:rPr>
                <w:rFonts w:ascii="Times New Roman" w:eastAsia="標楷體" w:hAnsi="Times New Roman"/>
              </w:rPr>
              <w:t>neuronal apoptosis</w:t>
            </w:r>
            <w:r w:rsidR="00302612" w:rsidRPr="00302612">
              <w:rPr>
                <w:rFonts w:ascii="Times New Roman" w:eastAsia="標楷體" w:hAnsi="標楷體"/>
              </w:rPr>
              <w:t>）</w:t>
            </w:r>
            <w:r w:rsidRPr="00302612">
              <w:rPr>
                <w:rFonts w:ascii="Times New Roman" w:eastAsia="標楷體" w:hAnsi="標楷體"/>
              </w:rPr>
              <w:t>，</w:t>
            </w:r>
            <w:r w:rsidR="008D1FC4" w:rsidRPr="00302612">
              <w:rPr>
                <w:rFonts w:ascii="Times New Roman" w:eastAsia="標楷體" w:hAnsi="標楷體"/>
              </w:rPr>
              <w:t>而</w:t>
            </w:r>
            <w:r w:rsidRPr="00302612">
              <w:rPr>
                <w:rFonts w:ascii="Times New Roman" w:eastAsia="標楷體" w:hAnsi="標楷體"/>
              </w:rPr>
              <w:t>導致長期認知缺損</w:t>
            </w:r>
            <w:r w:rsidR="00302612" w:rsidRPr="00302612">
              <w:rPr>
                <w:rFonts w:ascii="Times New Roman" w:eastAsia="標楷體" w:hAnsi="標楷體"/>
              </w:rPr>
              <w:t>（</w:t>
            </w:r>
            <w:r w:rsidR="00302612" w:rsidRPr="00302612">
              <w:rPr>
                <w:rFonts w:ascii="Times New Roman" w:eastAsia="標楷體" w:hAnsi="Times New Roman"/>
              </w:rPr>
              <w:t>cognitive deficits</w:t>
            </w:r>
            <w:r w:rsidR="00302612" w:rsidRPr="00302612">
              <w:rPr>
                <w:rFonts w:ascii="Times New Roman" w:eastAsia="標楷體" w:hAnsi="標楷體"/>
              </w:rPr>
              <w:t>）</w:t>
            </w:r>
            <w:r w:rsidR="008D1FC4" w:rsidRPr="00302612">
              <w:rPr>
                <w:rFonts w:ascii="Times New Roman" w:eastAsia="標楷體" w:hAnsi="標楷體"/>
              </w:rPr>
              <w:t>；</w:t>
            </w:r>
            <w:proofErr w:type="gramStart"/>
            <w:r w:rsidR="009C4604" w:rsidRPr="00302612">
              <w:rPr>
                <w:rFonts w:ascii="Times New Roman" w:eastAsia="標楷體" w:hAnsi="標楷體"/>
              </w:rPr>
              <w:t>推估</w:t>
            </w:r>
            <w:r w:rsidR="008D1FC4" w:rsidRPr="00302612">
              <w:rPr>
                <w:rFonts w:ascii="Times New Roman" w:eastAsia="標楷體" w:hAnsi="標楷體"/>
              </w:rPr>
              <w:t>最有</w:t>
            </w:r>
            <w:proofErr w:type="gramEnd"/>
            <w:r w:rsidR="008D1FC4" w:rsidRPr="00302612">
              <w:rPr>
                <w:rFonts w:ascii="Times New Roman" w:eastAsia="標楷體" w:hAnsi="標楷體"/>
              </w:rPr>
              <w:t>可能影響第三孕期胎兒及</w:t>
            </w:r>
            <w:r w:rsidR="00F243E6" w:rsidRPr="00302612">
              <w:rPr>
                <w:rFonts w:ascii="Times New Roman" w:eastAsia="標楷體" w:hAnsi="標楷體"/>
              </w:rPr>
              <w:t>三歲</w:t>
            </w:r>
            <w:r w:rsidR="008D1FC4" w:rsidRPr="00302612">
              <w:rPr>
                <w:rFonts w:ascii="Times New Roman" w:eastAsia="標楷體" w:hAnsi="標楷體"/>
              </w:rPr>
              <w:t>以下</w:t>
            </w:r>
            <w:r w:rsidR="00F243E6" w:rsidRPr="00302612">
              <w:rPr>
                <w:rFonts w:ascii="Times New Roman" w:eastAsia="標楷體" w:hAnsi="標楷體"/>
              </w:rPr>
              <w:t>幼兒</w:t>
            </w:r>
            <w:r w:rsidRPr="00302612">
              <w:rPr>
                <w:rFonts w:ascii="Times New Roman" w:eastAsia="標楷體" w:hAnsi="標楷體"/>
              </w:rPr>
              <w:t>。</w:t>
            </w:r>
          </w:p>
          <w:p w:rsidR="00302612" w:rsidRPr="00302612" w:rsidRDefault="008D1FC4" w:rsidP="007B666F">
            <w:pPr>
              <w:pStyle w:val="a9"/>
              <w:numPr>
                <w:ilvl w:val="0"/>
                <w:numId w:val="6"/>
              </w:numPr>
              <w:spacing w:afterLines="50" w:after="180"/>
              <w:ind w:leftChars="0"/>
              <w:rPr>
                <w:rFonts w:ascii="Times New Roman" w:eastAsia="標楷體" w:hAnsi="Times New Roman"/>
              </w:rPr>
            </w:pPr>
            <w:r w:rsidRPr="00302612">
              <w:rPr>
                <w:rFonts w:ascii="Times New Roman" w:eastAsia="標楷體" w:hAnsi="標楷體"/>
              </w:rPr>
              <w:t>近期</w:t>
            </w:r>
            <w:r w:rsidR="00920D2B" w:rsidRPr="00302612">
              <w:rPr>
                <w:rFonts w:ascii="Times New Roman" w:eastAsia="標楷體" w:hAnsi="標楷體"/>
              </w:rPr>
              <w:t>人類研究指出，單次、短時間使用全身性麻醉劑及鎮靜劑不</w:t>
            </w:r>
            <w:r w:rsidR="005306FD" w:rsidRPr="00302612">
              <w:rPr>
                <w:rFonts w:ascii="Times New Roman" w:eastAsia="標楷體" w:hAnsi="標楷體"/>
              </w:rPr>
              <w:t>太</w:t>
            </w:r>
            <w:r w:rsidR="00920D2B" w:rsidRPr="00302612">
              <w:rPr>
                <w:rFonts w:ascii="Times New Roman" w:eastAsia="標楷體" w:hAnsi="標楷體"/>
              </w:rPr>
              <w:t>會對嬰幼兒的行為和學習造成負面影響。</w:t>
            </w:r>
          </w:p>
          <w:p w:rsidR="0006625A" w:rsidRPr="00302612" w:rsidRDefault="005306FD" w:rsidP="007B666F">
            <w:pPr>
              <w:pStyle w:val="a9"/>
              <w:numPr>
                <w:ilvl w:val="0"/>
                <w:numId w:val="6"/>
              </w:numPr>
              <w:spacing w:afterLines="50" w:after="180"/>
              <w:ind w:leftChars="0"/>
              <w:rPr>
                <w:rFonts w:ascii="Times New Roman" w:eastAsia="標楷體" w:hAnsi="Times New Roman"/>
              </w:rPr>
            </w:pPr>
            <w:r w:rsidRPr="00302612">
              <w:rPr>
                <w:rFonts w:ascii="Times New Roman" w:eastAsia="標楷體" w:hAnsi="標楷體"/>
              </w:rPr>
              <w:t>但</w:t>
            </w:r>
            <w:r w:rsidR="004978C9" w:rsidRPr="00302612">
              <w:rPr>
                <w:rFonts w:ascii="Times New Roman" w:eastAsia="標楷體" w:hAnsi="標楷體"/>
              </w:rPr>
              <w:t>部分</w:t>
            </w:r>
            <w:r w:rsidR="00F243E6" w:rsidRPr="00302612">
              <w:rPr>
                <w:rFonts w:ascii="Times New Roman" w:eastAsia="標楷體" w:hAnsi="標楷體"/>
              </w:rPr>
              <w:t>臨床</w:t>
            </w:r>
            <w:r w:rsidR="004978C9" w:rsidRPr="00302612">
              <w:rPr>
                <w:rFonts w:ascii="Times New Roman" w:eastAsia="標楷體" w:hAnsi="標楷體"/>
              </w:rPr>
              <w:t>研究</w:t>
            </w:r>
            <w:r w:rsidR="00F243E6" w:rsidRPr="00302612">
              <w:rPr>
                <w:rFonts w:ascii="Times New Roman" w:eastAsia="標楷體" w:hAnsi="標楷體"/>
              </w:rPr>
              <w:t>顯示</w:t>
            </w:r>
            <w:r w:rsidR="004978C9" w:rsidRPr="00302612">
              <w:rPr>
                <w:rFonts w:ascii="Times New Roman" w:eastAsia="標楷體" w:hAnsi="標楷體"/>
              </w:rPr>
              <w:t>，長時間或反覆</w:t>
            </w:r>
            <w:r w:rsidRPr="00302612">
              <w:rPr>
                <w:rFonts w:ascii="Times New Roman" w:eastAsia="標楷體" w:hAnsi="標楷體"/>
              </w:rPr>
              <w:t>使用</w:t>
            </w:r>
            <w:r w:rsidR="004978C9" w:rsidRPr="00302612">
              <w:rPr>
                <w:rFonts w:ascii="Times New Roman" w:eastAsia="標楷體" w:hAnsi="標楷體"/>
              </w:rPr>
              <w:t>麻醉藥品</w:t>
            </w:r>
            <w:r w:rsidRPr="00302612">
              <w:rPr>
                <w:rFonts w:ascii="Times New Roman" w:eastAsia="標楷體" w:hAnsi="標楷體"/>
              </w:rPr>
              <w:t>可能與</w:t>
            </w:r>
            <w:r w:rsidR="004978C9" w:rsidRPr="00302612">
              <w:rPr>
                <w:rFonts w:ascii="Times New Roman" w:eastAsia="標楷體" w:hAnsi="標楷體"/>
              </w:rPr>
              <w:t>神經發</w:t>
            </w:r>
            <w:r w:rsidR="00255D58" w:rsidRPr="00302612">
              <w:rPr>
                <w:rFonts w:ascii="Times New Roman" w:eastAsia="標楷體" w:hAnsi="標楷體"/>
              </w:rPr>
              <w:t>育</w:t>
            </w:r>
            <w:r w:rsidR="004978C9" w:rsidRPr="00302612">
              <w:rPr>
                <w:rFonts w:ascii="Times New Roman" w:eastAsia="標楷體" w:hAnsi="標楷體"/>
              </w:rPr>
              <w:t>遲緩</w:t>
            </w:r>
            <w:r w:rsidR="00302612" w:rsidRPr="00302612">
              <w:rPr>
                <w:rFonts w:ascii="Times New Roman" w:eastAsia="標楷體" w:hAnsi="標楷體"/>
              </w:rPr>
              <w:t>（</w:t>
            </w:r>
            <w:r w:rsidR="00302612" w:rsidRPr="00302612">
              <w:rPr>
                <w:rFonts w:ascii="Times New Roman" w:eastAsia="標楷體" w:hAnsi="Times New Roman"/>
              </w:rPr>
              <w:t>neurodevelopmental delay</w:t>
            </w:r>
            <w:r w:rsidR="00302612" w:rsidRPr="00302612">
              <w:rPr>
                <w:rFonts w:ascii="Times New Roman" w:eastAsia="標楷體" w:hAnsi="標楷體"/>
              </w:rPr>
              <w:t>）</w:t>
            </w:r>
            <w:r w:rsidR="004978C9" w:rsidRPr="00302612">
              <w:rPr>
                <w:rFonts w:ascii="Times New Roman" w:eastAsia="標楷體" w:hAnsi="標楷體"/>
              </w:rPr>
              <w:t>、學習障礙</w:t>
            </w:r>
            <w:r w:rsidR="00302612" w:rsidRPr="00302612">
              <w:rPr>
                <w:rFonts w:ascii="Times New Roman" w:eastAsia="標楷體" w:hAnsi="標楷體"/>
              </w:rPr>
              <w:t>（</w:t>
            </w:r>
            <w:r w:rsidR="00302612" w:rsidRPr="00302612">
              <w:rPr>
                <w:rFonts w:ascii="Times New Roman" w:eastAsia="標楷體" w:hAnsi="Times New Roman"/>
              </w:rPr>
              <w:t>learning disability</w:t>
            </w:r>
            <w:r w:rsidR="00302612" w:rsidRPr="00302612">
              <w:rPr>
                <w:rFonts w:ascii="Times New Roman" w:eastAsia="標楷體" w:hAnsi="標楷體"/>
              </w:rPr>
              <w:t>）</w:t>
            </w:r>
            <w:r w:rsidR="004978C9" w:rsidRPr="00302612">
              <w:rPr>
                <w:rFonts w:ascii="Times New Roman" w:eastAsia="標楷體" w:hAnsi="標楷體"/>
              </w:rPr>
              <w:t>、注意力不足過動症</w:t>
            </w:r>
            <w:r w:rsidR="00302612" w:rsidRPr="00302612">
              <w:rPr>
                <w:rFonts w:ascii="Times New Roman" w:eastAsia="標楷體" w:hAnsi="標楷體"/>
              </w:rPr>
              <w:t>（</w:t>
            </w:r>
            <w:r w:rsidR="00302612" w:rsidRPr="00302612">
              <w:rPr>
                <w:rFonts w:ascii="Times New Roman" w:eastAsia="標楷體" w:hAnsi="Times New Roman"/>
              </w:rPr>
              <w:t>ADHD</w:t>
            </w:r>
            <w:r w:rsidR="00302612" w:rsidRPr="00302612">
              <w:rPr>
                <w:rFonts w:ascii="Times New Roman" w:eastAsia="標楷體" w:hAnsi="標楷體"/>
              </w:rPr>
              <w:t>）</w:t>
            </w:r>
            <w:r w:rsidR="004978C9" w:rsidRPr="00302612">
              <w:rPr>
                <w:rFonts w:ascii="Times New Roman" w:eastAsia="標楷體" w:hAnsi="標楷體"/>
              </w:rPr>
              <w:t>等認知及行為問題</w:t>
            </w:r>
            <w:r w:rsidRPr="00302612">
              <w:rPr>
                <w:rFonts w:ascii="Times New Roman" w:eastAsia="標楷體" w:hAnsi="標楷體"/>
              </w:rPr>
              <w:t>有關</w:t>
            </w:r>
            <w:r w:rsidR="00F2326A" w:rsidRPr="00302612">
              <w:rPr>
                <w:rFonts w:ascii="Times New Roman" w:eastAsia="標楷體" w:hAnsi="標楷體"/>
              </w:rPr>
              <w:t>，</w:t>
            </w:r>
            <w:r w:rsidR="004E64B6" w:rsidRPr="00302612">
              <w:rPr>
                <w:rFonts w:ascii="Times New Roman" w:eastAsia="標楷體" w:hAnsi="標楷體"/>
              </w:rPr>
              <w:t>但尚無法</w:t>
            </w:r>
            <w:proofErr w:type="gramStart"/>
            <w:r w:rsidR="004E64B6" w:rsidRPr="00302612">
              <w:rPr>
                <w:rFonts w:ascii="Times New Roman" w:eastAsia="標楷體" w:hAnsi="標楷體"/>
              </w:rPr>
              <w:t>釐</w:t>
            </w:r>
            <w:proofErr w:type="gramEnd"/>
            <w:r w:rsidR="004E64B6" w:rsidRPr="00302612">
              <w:rPr>
                <w:rFonts w:ascii="Times New Roman" w:eastAsia="標楷體" w:hAnsi="標楷體"/>
              </w:rPr>
              <w:t>清係因麻醉藥品</w:t>
            </w:r>
            <w:r w:rsidR="004F76B1" w:rsidRPr="00302612">
              <w:rPr>
                <w:rFonts w:ascii="Times New Roman" w:eastAsia="標楷體" w:hAnsi="標楷體"/>
              </w:rPr>
              <w:t>或諸如手術</w:t>
            </w:r>
            <w:r w:rsidRPr="00302612">
              <w:rPr>
                <w:rFonts w:ascii="Times New Roman" w:eastAsia="標楷體" w:hAnsi="標楷體"/>
              </w:rPr>
              <w:t>本身</w:t>
            </w:r>
            <w:r w:rsidR="004F76B1" w:rsidRPr="00302612">
              <w:rPr>
                <w:rFonts w:ascii="Times New Roman" w:eastAsia="標楷體" w:hAnsi="標楷體"/>
              </w:rPr>
              <w:t>、病人既有疾病等</w:t>
            </w:r>
            <w:r w:rsidR="004E64B6" w:rsidRPr="00302612">
              <w:rPr>
                <w:rFonts w:ascii="Times New Roman" w:eastAsia="標楷體" w:hAnsi="標楷體"/>
              </w:rPr>
              <w:t>其他因素所致</w:t>
            </w:r>
            <w:r w:rsidR="004978C9" w:rsidRPr="00302612">
              <w:rPr>
                <w:rFonts w:ascii="Times New Roman" w:eastAsia="標楷體" w:hAnsi="標楷體"/>
              </w:rPr>
              <w:t>。</w:t>
            </w:r>
          </w:p>
          <w:p w:rsidR="00302612" w:rsidRPr="00302612" w:rsidRDefault="00302612" w:rsidP="007B666F">
            <w:pPr>
              <w:pStyle w:val="a9"/>
              <w:numPr>
                <w:ilvl w:val="0"/>
                <w:numId w:val="6"/>
              </w:numPr>
              <w:spacing w:afterLines="50" w:after="180"/>
              <w:ind w:leftChars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病人在危及生命的情況下，不應延誤必要手術的進行，病人家屬和照護者應與醫療人員充分討論手術的效益及風險。</w:t>
            </w:r>
          </w:p>
          <w:p w:rsidR="00911ACD" w:rsidRPr="00AE7D75" w:rsidRDefault="00911ACD" w:rsidP="007B666F">
            <w:pPr>
              <w:pStyle w:val="Web"/>
              <w:numPr>
                <w:ilvl w:val="0"/>
                <w:numId w:val="1"/>
              </w:numPr>
              <w:spacing w:before="0" w:beforeAutospacing="0" w:afterLines="50" w:after="180" w:afterAutospacing="0" w:line="400" w:lineRule="exact"/>
              <w:rPr>
                <w:rFonts w:ascii="Times New Roman" w:eastAsia="標楷體" w:hAnsi="Times New Roman" w:cs="Times New Roman"/>
                <w:b/>
              </w:rPr>
            </w:pPr>
            <w:r w:rsidRPr="00AE7D75">
              <w:rPr>
                <w:rFonts w:ascii="Times New Roman" w:eastAsia="標楷體" w:hAnsi="標楷體" w:cs="Times New Roman"/>
                <w:b/>
                <w:bCs/>
                <w:u w:val="single"/>
              </w:rPr>
              <w:lastRenderedPageBreak/>
              <w:t>醫療人員</w:t>
            </w:r>
            <w:r w:rsidRPr="00AE7D75">
              <w:rPr>
                <w:rFonts w:ascii="Times New Roman" w:eastAsia="標楷體" w:hAnsi="標楷體" w:cs="Times New Roman"/>
                <w:b/>
              </w:rPr>
              <w:t>應注意事項：</w:t>
            </w:r>
          </w:p>
          <w:p w:rsidR="001F7A60" w:rsidRPr="00AE7D75" w:rsidRDefault="00B563C2" w:rsidP="007B666F">
            <w:pPr>
              <w:pStyle w:val="Web"/>
              <w:numPr>
                <w:ilvl w:val="1"/>
                <w:numId w:val="5"/>
              </w:numPr>
              <w:tabs>
                <w:tab w:val="clear" w:pos="1440"/>
                <w:tab w:val="num" w:pos="922"/>
              </w:tabs>
              <w:spacing w:before="0" w:beforeAutospacing="0" w:afterLines="50" w:after="180" w:afterAutospacing="0" w:line="400" w:lineRule="exact"/>
              <w:ind w:left="638" w:hanging="283"/>
              <w:rPr>
                <w:rFonts w:ascii="Times New Roman" w:eastAsia="標楷體" w:hAnsi="Times New Roman" w:cs="Times New Roman"/>
                <w:color w:val="000000"/>
              </w:rPr>
            </w:pPr>
            <w:r w:rsidRPr="00AE7D75">
              <w:rPr>
                <w:rFonts w:ascii="Times New Roman" w:eastAsia="標楷體" w:hAnsi="標楷體" w:cs="Times New Roman"/>
              </w:rPr>
              <w:t>對於</w:t>
            </w:r>
            <w:r w:rsidR="00BD29B0" w:rsidRPr="00AE7D75">
              <w:rPr>
                <w:rFonts w:ascii="Times New Roman" w:eastAsia="標楷體" w:hAnsi="標楷體" w:cs="Times New Roman"/>
              </w:rPr>
              <w:t>任何需麻醉的</w:t>
            </w:r>
            <w:r w:rsidRPr="00AE7D75">
              <w:rPr>
                <w:rFonts w:ascii="Times New Roman" w:eastAsia="標楷體" w:hAnsi="標楷體" w:cs="Times New Roman"/>
              </w:rPr>
              <w:t>非緊急</w:t>
            </w:r>
            <w:r w:rsidR="00BD29B0" w:rsidRPr="00AE7D75">
              <w:rPr>
                <w:rFonts w:ascii="Times New Roman" w:eastAsia="標楷體" w:hAnsi="標楷體" w:cs="Times New Roman"/>
              </w:rPr>
              <w:t>處置</w:t>
            </w:r>
            <w:r w:rsidR="00F76445">
              <w:rPr>
                <w:rFonts w:ascii="Times New Roman" w:eastAsia="標楷體" w:hAnsi="標楷體" w:cs="Times New Roman"/>
              </w:rPr>
              <w:t>（</w:t>
            </w:r>
            <w:r w:rsidR="00F76445" w:rsidRPr="00AE7D75">
              <w:rPr>
                <w:rFonts w:ascii="Times New Roman" w:eastAsia="標楷體" w:hAnsi="Times New Roman" w:cs="Times New Roman"/>
              </w:rPr>
              <w:t>elective procedure</w:t>
            </w:r>
            <w:r w:rsidR="00F76445">
              <w:rPr>
                <w:rFonts w:ascii="Times New Roman" w:eastAsia="標楷體" w:hAnsi="標楷體" w:cs="Times New Roman"/>
              </w:rPr>
              <w:t>）</w:t>
            </w:r>
            <w:r w:rsidRPr="00AE7D75">
              <w:rPr>
                <w:rFonts w:ascii="Times New Roman" w:eastAsia="標楷體" w:hAnsi="標楷體" w:cs="Times New Roman"/>
              </w:rPr>
              <w:t>，</w:t>
            </w:r>
            <w:r w:rsidR="001F7A60" w:rsidRPr="00AE7D75">
              <w:rPr>
                <w:rFonts w:ascii="Times New Roman" w:eastAsia="標楷體" w:hAnsi="標楷體" w:cs="Times New Roman"/>
              </w:rPr>
              <w:t>應謹慎評估</w:t>
            </w:r>
            <w:r w:rsidR="00BD29B0" w:rsidRPr="00AE7D75">
              <w:rPr>
                <w:rFonts w:ascii="Times New Roman" w:eastAsia="標楷體" w:hAnsi="標楷體" w:cs="Times New Roman"/>
              </w:rPr>
              <w:t>其</w:t>
            </w:r>
            <w:r w:rsidR="001F7A60" w:rsidRPr="00AE7D75">
              <w:rPr>
                <w:rFonts w:ascii="Times New Roman" w:eastAsia="標楷體" w:hAnsi="標楷體" w:cs="Times New Roman"/>
              </w:rPr>
              <w:t>臨床效益與風險</w:t>
            </w:r>
            <w:r w:rsidRPr="00AE7D75">
              <w:rPr>
                <w:rFonts w:ascii="Times New Roman" w:eastAsia="標楷體" w:hAnsi="標楷體" w:cs="Times New Roman"/>
              </w:rPr>
              <w:t>以決定適當的手術時機</w:t>
            </w:r>
            <w:r w:rsidR="001F7A60" w:rsidRPr="00AE7D75">
              <w:rPr>
                <w:rFonts w:ascii="Times New Roman" w:eastAsia="標楷體" w:hAnsi="標楷體" w:cs="Times New Roman"/>
              </w:rPr>
              <w:t>。</w:t>
            </w:r>
          </w:p>
          <w:p w:rsidR="001F7A60" w:rsidRPr="00AE7D75" w:rsidRDefault="001F7A60" w:rsidP="007B666F">
            <w:pPr>
              <w:pStyle w:val="Web"/>
              <w:numPr>
                <w:ilvl w:val="1"/>
                <w:numId w:val="5"/>
              </w:numPr>
              <w:tabs>
                <w:tab w:val="clear" w:pos="1440"/>
                <w:tab w:val="num" w:pos="922"/>
              </w:tabs>
              <w:spacing w:before="0" w:beforeAutospacing="0" w:afterLines="50" w:after="180" w:afterAutospacing="0" w:line="400" w:lineRule="exact"/>
              <w:ind w:left="638" w:hanging="283"/>
              <w:rPr>
                <w:rFonts w:ascii="Times New Roman" w:eastAsia="標楷體" w:hAnsi="Times New Roman" w:cs="Times New Roman"/>
                <w:color w:val="000000"/>
              </w:rPr>
            </w:pPr>
            <w:r w:rsidRPr="00AE7D75">
              <w:rPr>
                <w:rFonts w:ascii="Times New Roman" w:eastAsia="標楷體" w:hAnsi="標楷體" w:cs="Times New Roman"/>
              </w:rPr>
              <w:t>醫療人員應</w:t>
            </w:r>
            <w:r w:rsidR="00B563C2" w:rsidRPr="00AE7D75">
              <w:rPr>
                <w:rFonts w:ascii="Times New Roman" w:eastAsia="標楷體" w:hAnsi="標楷體" w:cs="Times New Roman"/>
              </w:rPr>
              <w:t>與孕婦或病人家</w:t>
            </w:r>
            <w:r w:rsidR="00BD29B0" w:rsidRPr="00AE7D75">
              <w:rPr>
                <w:rFonts w:ascii="Times New Roman" w:eastAsia="標楷體" w:hAnsi="標楷體" w:cs="Times New Roman"/>
              </w:rPr>
              <w:t>屬</w:t>
            </w:r>
            <w:r w:rsidR="001F3E0B" w:rsidRPr="00AE7D75">
              <w:rPr>
                <w:rFonts w:ascii="Times New Roman" w:eastAsia="標楷體" w:hAnsi="標楷體" w:cs="Times New Roman"/>
              </w:rPr>
              <w:t>及</w:t>
            </w:r>
            <w:r w:rsidR="00B563C2" w:rsidRPr="00AE7D75">
              <w:rPr>
                <w:rFonts w:ascii="Times New Roman" w:eastAsia="標楷體" w:hAnsi="標楷體" w:cs="Times New Roman"/>
              </w:rPr>
              <w:t>照護</w:t>
            </w:r>
            <w:r w:rsidR="00BD29B0" w:rsidRPr="00AE7D75">
              <w:rPr>
                <w:rFonts w:ascii="Times New Roman" w:eastAsia="標楷體" w:hAnsi="標楷體" w:cs="Times New Roman"/>
              </w:rPr>
              <w:t>者充分討論麻醉手術的效益、風險、適當的手術時機、</w:t>
            </w:r>
            <w:r w:rsidR="001F3E0B" w:rsidRPr="00AE7D75">
              <w:rPr>
                <w:rFonts w:ascii="Times New Roman" w:eastAsia="標楷體" w:hAnsi="標楷體" w:cs="Times New Roman"/>
              </w:rPr>
              <w:t>手術時間</w:t>
            </w:r>
            <w:r w:rsidR="00BD29B0" w:rsidRPr="00AE7D75">
              <w:rPr>
                <w:rFonts w:ascii="Times New Roman" w:eastAsia="標楷體" w:hAnsi="標楷體" w:cs="Times New Roman"/>
              </w:rPr>
              <w:t>長短，以及疾病未治療的健康風險</w:t>
            </w:r>
            <w:r w:rsidRPr="00AE7D75">
              <w:rPr>
                <w:rFonts w:ascii="Times New Roman" w:eastAsia="標楷體" w:hAnsi="標楷體" w:cs="Times New Roman"/>
              </w:rPr>
              <w:t>。</w:t>
            </w:r>
          </w:p>
          <w:p w:rsidR="00911ACD" w:rsidRPr="00AE7D75" w:rsidRDefault="00911ACD" w:rsidP="007B666F">
            <w:pPr>
              <w:pStyle w:val="Web"/>
              <w:numPr>
                <w:ilvl w:val="0"/>
                <w:numId w:val="1"/>
              </w:numPr>
              <w:spacing w:before="0" w:beforeAutospacing="0" w:afterLines="50" w:after="180" w:afterAutospacing="0" w:line="400" w:lineRule="exact"/>
              <w:rPr>
                <w:rFonts w:ascii="Times New Roman" w:eastAsia="標楷體" w:hAnsi="Times New Roman" w:cs="Times New Roman"/>
              </w:rPr>
            </w:pPr>
            <w:r w:rsidRPr="00AE7D75">
              <w:rPr>
                <w:rFonts w:ascii="Times New Roman" w:eastAsia="標楷體" w:hAnsi="標楷體" w:cs="Times New Roman"/>
                <w:b/>
                <w:bCs/>
                <w:u w:val="single"/>
              </w:rPr>
              <w:t>病人</w:t>
            </w:r>
            <w:r w:rsidRPr="00AE7D75">
              <w:rPr>
                <w:rFonts w:ascii="Times New Roman" w:eastAsia="標楷體" w:hAnsi="標楷體" w:cs="Times New Roman"/>
                <w:b/>
              </w:rPr>
              <w:t>應注意事項</w:t>
            </w:r>
            <w:r w:rsidRPr="00AE7D75">
              <w:rPr>
                <w:rFonts w:ascii="Times New Roman" w:eastAsia="標楷體" w:hAnsi="標楷體" w:cs="Times New Roman"/>
              </w:rPr>
              <w:t>：</w:t>
            </w:r>
          </w:p>
          <w:p w:rsidR="001F7A60" w:rsidRPr="00AE7D75" w:rsidRDefault="00BD29B0" w:rsidP="007B666F">
            <w:pPr>
              <w:pStyle w:val="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Lines="50" w:after="180" w:afterAutospacing="0" w:line="400" w:lineRule="exact"/>
              <w:ind w:left="638" w:hanging="283"/>
              <w:rPr>
                <w:rFonts w:ascii="Times New Roman" w:eastAsia="標楷體" w:hAnsi="Times New Roman" w:cs="Times New Roman"/>
              </w:rPr>
            </w:pPr>
            <w:r w:rsidRPr="00AE7D75">
              <w:rPr>
                <w:rFonts w:ascii="Times New Roman" w:eastAsia="標楷體" w:hAnsi="標楷體" w:cs="Times New Roman"/>
              </w:rPr>
              <w:t>對於須接受</w:t>
            </w:r>
            <w:r w:rsidR="005F7EE7" w:rsidRPr="00AE7D75">
              <w:rPr>
                <w:rFonts w:ascii="Times New Roman" w:eastAsia="標楷體" w:hAnsi="標楷體" w:cs="Times New Roman"/>
              </w:rPr>
              <w:t>手術或其他高</w:t>
            </w:r>
            <w:proofErr w:type="gramStart"/>
            <w:r w:rsidR="005F7EE7" w:rsidRPr="00AE7D75">
              <w:rPr>
                <w:rFonts w:ascii="Times New Roman" w:eastAsia="標楷體" w:hAnsi="標楷體" w:cs="Times New Roman"/>
              </w:rPr>
              <w:t>疼痛、</w:t>
            </w:r>
            <w:proofErr w:type="gramEnd"/>
            <w:r w:rsidR="005F7EE7" w:rsidRPr="00AE7D75">
              <w:rPr>
                <w:rFonts w:ascii="Times New Roman" w:eastAsia="標楷體" w:hAnsi="標楷體" w:cs="Times New Roman"/>
              </w:rPr>
              <w:t>高壓</w:t>
            </w:r>
            <w:r w:rsidRPr="00AE7D75">
              <w:rPr>
                <w:rFonts w:ascii="Times New Roman" w:eastAsia="標楷體" w:hAnsi="標楷體" w:cs="Times New Roman"/>
              </w:rPr>
              <w:t>力醫療</w:t>
            </w:r>
            <w:r w:rsidR="005F7EE7" w:rsidRPr="00AE7D75">
              <w:rPr>
                <w:rFonts w:ascii="Times New Roman" w:eastAsia="標楷體" w:hAnsi="標楷體" w:cs="Times New Roman"/>
              </w:rPr>
              <w:t>處置</w:t>
            </w:r>
            <w:r w:rsidRPr="00AE7D75">
              <w:rPr>
                <w:rFonts w:ascii="Times New Roman" w:eastAsia="標楷體" w:hAnsi="標楷體" w:cs="Times New Roman"/>
              </w:rPr>
              <w:t>的兒童、嬰兒及孕婦</w:t>
            </w:r>
            <w:r w:rsidR="000E3A8B" w:rsidRPr="00AE7D75">
              <w:rPr>
                <w:rFonts w:ascii="Times New Roman" w:eastAsia="標楷體" w:hAnsi="標楷體" w:cs="Times New Roman"/>
              </w:rPr>
              <w:t>，麻醉</w:t>
            </w:r>
            <w:r w:rsidRPr="00AE7D75">
              <w:rPr>
                <w:rFonts w:ascii="Times New Roman" w:eastAsia="標楷體" w:hAnsi="標楷體" w:cs="Times New Roman"/>
              </w:rPr>
              <w:t>劑</w:t>
            </w:r>
            <w:r w:rsidR="000E3A8B" w:rsidRPr="00AE7D75">
              <w:rPr>
                <w:rFonts w:ascii="Times New Roman" w:eastAsia="標楷體" w:hAnsi="標楷體" w:cs="Times New Roman"/>
              </w:rPr>
              <w:t>及鎮靜劑</w:t>
            </w:r>
            <w:r w:rsidRPr="00AE7D75">
              <w:rPr>
                <w:rFonts w:ascii="Times New Roman" w:eastAsia="標楷體" w:hAnsi="標楷體" w:cs="Times New Roman"/>
              </w:rPr>
              <w:t>為治療所需。</w:t>
            </w:r>
            <w:r w:rsidR="000E3A8B" w:rsidRPr="00AE7D75">
              <w:rPr>
                <w:rFonts w:ascii="Times New Roman" w:eastAsia="標楷體" w:hAnsi="標楷體" w:cs="Times New Roman"/>
              </w:rPr>
              <w:t>疼痛若未處理可能對兒童及其發育中的神經系統有害</w:t>
            </w:r>
            <w:r w:rsidR="001F7A60" w:rsidRPr="00AE7D75">
              <w:rPr>
                <w:rFonts w:ascii="Times New Roman" w:eastAsia="標楷體" w:hAnsi="標楷體" w:cs="Times New Roman"/>
              </w:rPr>
              <w:t>。</w:t>
            </w:r>
          </w:p>
          <w:p w:rsidR="00722CDC" w:rsidRPr="004D2A84" w:rsidRDefault="00640857" w:rsidP="007B666F">
            <w:pPr>
              <w:pStyle w:val="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Lines="50" w:after="180" w:afterAutospacing="0" w:line="400" w:lineRule="exact"/>
              <w:ind w:left="638" w:hanging="283"/>
              <w:rPr>
                <w:rFonts w:ascii="Times New Roman" w:eastAsia="標楷體" w:hAnsi="Times New Roman" w:cs="Times New Roman"/>
              </w:rPr>
            </w:pPr>
            <w:r w:rsidRPr="00AE7D75">
              <w:rPr>
                <w:rFonts w:ascii="Times New Roman" w:eastAsia="標楷體" w:hAnsi="標楷體" w:cs="Times New Roman"/>
              </w:rPr>
              <w:t>病人家</w:t>
            </w:r>
            <w:r w:rsidR="00BD29B0" w:rsidRPr="00AE7D75">
              <w:rPr>
                <w:rFonts w:ascii="Times New Roman" w:eastAsia="標楷體" w:hAnsi="標楷體" w:cs="Times New Roman"/>
              </w:rPr>
              <w:t>屬</w:t>
            </w:r>
            <w:r w:rsidRPr="00AE7D75">
              <w:rPr>
                <w:rFonts w:ascii="Times New Roman" w:eastAsia="標楷體" w:hAnsi="標楷體" w:cs="Times New Roman"/>
              </w:rPr>
              <w:t>及照護</w:t>
            </w:r>
            <w:r w:rsidR="00BD29B0" w:rsidRPr="00AE7D75">
              <w:rPr>
                <w:rFonts w:ascii="Times New Roman" w:eastAsia="標楷體" w:hAnsi="標楷體" w:cs="Times New Roman"/>
              </w:rPr>
              <w:t>者</w:t>
            </w:r>
            <w:r w:rsidRPr="00AE7D75">
              <w:rPr>
                <w:rFonts w:ascii="Times New Roman" w:eastAsia="標楷體" w:hAnsi="標楷體" w:cs="Times New Roman"/>
              </w:rPr>
              <w:t>應</w:t>
            </w:r>
            <w:r w:rsidR="00BD29B0" w:rsidRPr="00AE7D75">
              <w:rPr>
                <w:rFonts w:ascii="Times New Roman" w:eastAsia="標楷體" w:hAnsi="標楷體" w:cs="Times New Roman"/>
              </w:rPr>
              <w:t>向醫療人員詢問有關病人的手術計畫，如手術時間長短、</w:t>
            </w:r>
            <w:r w:rsidRPr="00AE7D75">
              <w:rPr>
                <w:rFonts w:ascii="Times New Roman" w:eastAsia="標楷體" w:hAnsi="標楷體" w:cs="Times New Roman"/>
              </w:rPr>
              <w:t>後續是否需反覆進行手術</w:t>
            </w:r>
            <w:r w:rsidR="00BD29B0" w:rsidRPr="00AE7D75">
              <w:rPr>
                <w:rFonts w:ascii="Times New Roman" w:eastAsia="標楷體" w:hAnsi="標楷體" w:cs="Times New Roman"/>
              </w:rPr>
              <w:t>，</w:t>
            </w:r>
            <w:r w:rsidRPr="00AE7D75">
              <w:rPr>
                <w:rFonts w:ascii="Times New Roman" w:eastAsia="標楷體" w:hAnsi="標楷體" w:cs="Times New Roman"/>
              </w:rPr>
              <w:t>並與醫療人員討論麻醉對病人腦部發</w:t>
            </w:r>
            <w:r w:rsidR="00255D58" w:rsidRPr="00AE7D75">
              <w:rPr>
                <w:rFonts w:ascii="Times New Roman" w:eastAsia="標楷體" w:hAnsi="標楷體" w:cs="Times New Roman"/>
              </w:rPr>
              <w:t>育</w:t>
            </w:r>
            <w:r w:rsidRPr="00AE7D75">
              <w:rPr>
                <w:rFonts w:ascii="Times New Roman" w:eastAsia="標楷體" w:hAnsi="標楷體" w:cs="Times New Roman"/>
              </w:rPr>
              <w:t>可能造成的不良影響，</w:t>
            </w:r>
            <w:r w:rsidR="00EE68B0" w:rsidRPr="00AE7D75">
              <w:rPr>
                <w:rFonts w:ascii="Times New Roman" w:eastAsia="標楷體" w:hAnsi="標楷體" w:cs="Times New Roman"/>
              </w:rPr>
              <w:t>以及是否宜將手術延後至適當時機而不危及病人健康。</w:t>
            </w:r>
          </w:p>
          <w:p w:rsidR="00911ACD" w:rsidRPr="00AE7D75" w:rsidRDefault="00911ACD" w:rsidP="005F7EE7">
            <w:pPr>
              <w:pStyle w:val="Default"/>
              <w:spacing w:line="400" w:lineRule="exact"/>
              <w:ind w:left="350" w:hangingChars="146" w:hanging="350"/>
              <w:rPr>
                <w:rFonts w:ascii="Times New Roman" w:eastAsia="標楷體" w:cs="Times New Roman"/>
                <w:color w:val="auto"/>
              </w:rPr>
            </w:pPr>
            <w:r w:rsidRPr="00AE7D75">
              <w:rPr>
                <w:rFonts w:ascii="Times New Roman" w:eastAsia="標楷體" w:hAnsi="標楷體" w:cs="Times New Roman"/>
                <w:color w:val="auto"/>
              </w:rPr>
              <w:t>◎</w:t>
            </w:r>
            <w:r w:rsidRPr="00AE7D75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AE7D75">
              <w:rPr>
                <w:rFonts w:ascii="Times New Roman" w:eastAsia="標楷體" w:hAnsi="標楷體" w:cs="Times New Roman"/>
                <w:color w:val="auto"/>
              </w:rPr>
              <w:t>醫療人員或病人懷疑因為使用（服用）藥品導致不良反應發生時，請立即通報給衛生</w:t>
            </w:r>
            <w:proofErr w:type="gramStart"/>
            <w:r w:rsidRPr="00AE7D75">
              <w:rPr>
                <w:rFonts w:ascii="Times New Roman" w:eastAsia="標楷體" w:hAnsi="標楷體" w:cs="Times New Roman"/>
                <w:color w:val="auto"/>
              </w:rPr>
              <w:t>福利部所建置</w:t>
            </w:r>
            <w:proofErr w:type="gramEnd"/>
            <w:r w:rsidRPr="00AE7D75">
              <w:rPr>
                <w:rFonts w:ascii="Times New Roman" w:eastAsia="標楷體" w:hAnsi="標楷體" w:cs="Times New Roman"/>
                <w:color w:val="auto"/>
              </w:rPr>
              <w:t>之全國藥物不良反應通報中心並副知所屬廠商，藥物不良反應通報專線</w:t>
            </w:r>
            <w:r w:rsidRPr="00AE7D75">
              <w:rPr>
                <w:rFonts w:ascii="Times New Roman" w:eastAsia="標楷體" w:cs="Times New Roman"/>
                <w:color w:val="auto"/>
              </w:rPr>
              <w:t>02-2396-0100</w:t>
            </w:r>
            <w:r w:rsidRPr="00AE7D75">
              <w:rPr>
                <w:rFonts w:ascii="Times New Roman" w:eastAsia="標楷體" w:hAnsi="標楷體" w:cs="Times New Roman"/>
                <w:color w:val="auto"/>
              </w:rPr>
              <w:t>，網站：</w:t>
            </w:r>
            <w:r w:rsidR="00EB04E1" w:rsidRPr="00AE7D75">
              <w:rPr>
                <w:rFonts w:ascii="Times New Roman" w:eastAsia="標楷體" w:cs="Times New Roman"/>
              </w:rPr>
              <w:fldChar w:fldCharType="begin"/>
            </w:r>
            <w:r w:rsidR="009178D8" w:rsidRPr="00AE7D75">
              <w:rPr>
                <w:rFonts w:ascii="Times New Roman" w:eastAsia="標楷體" w:cs="Times New Roman"/>
              </w:rPr>
              <w:instrText>HYPERLINK "https://adr.fda.gov.tw"</w:instrText>
            </w:r>
            <w:r w:rsidR="00EB04E1" w:rsidRPr="00AE7D75">
              <w:rPr>
                <w:rFonts w:ascii="Times New Roman" w:eastAsia="標楷體" w:cs="Times New Roman"/>
              </w:rPr>
              <w:fldChar w:fldCharType="separate"/>
            </w:r>
            <w:r w:rsidRPr="00AE7D75">
              <w:rPr>
                <w:rStyle w:val="ab"/>
                <w:rFonts w:ascii="Times New Roman" w:eastAsia="標楷體"/>
                <w:color w:val="auto"/>
              </w:rPr>
              <w:t>https://adr.fda.gov.tw</w:t>
            </w:r>
            <w:r w:rsidR="00EB04E1" w:rsidRPr="00AE7D75">
              <w:rPr>
                <w:rFonts w:ascii="Times New Roman" w:eastAsia="標楷體" w:cs="Times New Roman"/>
              </w:rPr>
              <w:fldChar w:fldCharType="end"/>
            </w:r>
            <w:r w:rsidRPr="00AE7D75">
              <w:rPr>
                <w:rFonts w:ascii="Times New Roman" w:eastAsia="標楷體" w:hAnsi="標楷體" w:cs="Times New Roman"/>
                <w:color w:val="auto"/>
              </w:rPr>
              <w:t>；衛生福利部食品藥物管理署獲知藥品安全訊息時，</w:t>
            </w:r>
            <w:proofErr w:type="gramStart"/>
            <w:r w:rsidRPr="00AE7D75">
              <w:rPr>
                <w:rFonts w:ascii="Times New Roman" w:eastAsia="標楷體" w:hAnsi="標楷體" w:cs="Times New Roman"/>
                <w:color w:val="auto"/>
              </w:rPr>
              <w:t>均會蒐集</w:t>
            </w:r>
            <w:proofErr w:type="gramEnd"/>
            <w:r w:rsidRPr="00AE7D75">
              <w:rPr>
                <w:rFonts w:ascii="Times New Roman" w:eastAsia="標楷體" w:hAnsi="標楷體" w:cs="Times New Roman"/>
                <w:color w:val="auto"/>
              </w:rPr>
              <w:t>彙整相關資料進行評估，並對於新增之藥品風險採取對應之風險管控措施。</w:t>
            </w:r>
          </w:p>
        </w:tc>
      </w:tr>
    </w:tbl>
    <w:p w:rsidR="00E719C2" w:rsidRDefault="00E719C2" w:rsidP="000D78D3">
      <w:pPr>
        <w:jc w:val="center"/>
        <w:rPr>
          <w:rFonts w:ascii="Arial" w:eastAsia="標楷體" w:hAnsi="Times New Roman"/>
          <w:b/>
          <w:sz w:val="36"/>
          <w:szCs w:val="36"/>
        </w:rPr>
      </w:pPr>
    </w:p>
    <w:p w:rsidR="00E719C2" w:rsidRDefault="00E719C2">
      <w:pPr>
        <w:widowControl/>
        <w:rPr>
          <w:rFonts w:ascii="Arial" w:eastAsia="標楷體" w:hAnsi="Times New Roman"/>
          <w:b/>
          <w:sz w:val="36"/>
          <w:szCs w:val="36"/>
        </w:rPr>
      </w:pPr>
      <w:r>
        <w:rPr>
          <w:rFonts w:ascii="Arial" w:eastAsia="標楷體" w:hAnsi="Times New Roman"/>
          <w:b/>
          <w:sz w:val="36"/>
          <w:szCs w:val="36"/>
        </w:rPr>
        <w:br w:type="page"/>
      </w:r>
    </w:p>
    <w:p w:rsidR="000D78D3" w:rsidRPr="00853ECD" w:rsidRDefault="000D78D3" w:rsidP="000D78D3">
      <w:pPr>
        <w:jc w:val="center"/>
        <w:rPr>
          <w:rFonts w:ascii="Arial" w:eastAsia="標楷體" w:hAnsi="Arial" w:cs="Arial"/>
          <w:b/>
          <w:color w:val="000000" w:themeColor="text1"/>
          <w:szCs w:val="24"/>
        </w:rPr>
      </w:pPr>
      <w:r w:rsidRPr="00853ECD">
        <w:rPr>
          <w:rFonts w:ascii="Arial" w:eastAsia="標楷體" w:hAnsi="Times New Roman" w:hint="eastAsia"/>
          <w:b/>
          <w:sz w:val="36"/>
          <w:szCs w:val="36"/>
        </w:rPr>
        <w:lastRenderedPageBreak/>
        <w:t>全身性麻醉劑及鎮靜劑成分</w:t>
      </w:r>
      <w:r w:rsidRPr="00853ECD">
        <w:rPr>
          <w:rFonts w:ascii="Arial" w:eastAsia="標楷體" w:hAnsi="Arial" w:cs="Arial"/>
          <w:b/>
          <w:sz w:val="36"/>
          <w:szCs w:val="36"/>
        </w:rPr>
        <w:t>藥品之適應症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497"/>
        <w:gridCol w:w="7025"/>
      </w:tblGrid>
      <w:tr w:rsidR="000D78D3" w:rsidRPr="006B3867" w:rsidTr="000D78D3">
        <w:tc>
          <w:tcPr>
            <w:tcW w:w="1497" w:type="dxa"/>
          </w:tcPr>
          <w:p w:rsidR="000D78D3" w:rsidRPr="006B3867" w:rsidRDefault="000D78D3" w:rsidP="00880E5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B3867">
              <w:rPr>
                <w:rFonts w:ascii="Times New Roman" w:eastAsia="標楷體" w:hAnsi="標楷體"/>
                <w:szCs w:val="24"/>
              </w:rPr>
              <w:t>成分</w:t>
            </w:r>
          </w:p>
        </w:tc>
        <w:tc>
          <w:tcPr>
            <w:tcW w:w="7025" w:type="dxa"/>
          </w:tcPr>
          <w:p w:rsidR="000D78D3" w:rsidRPr="006B3867" w:rsidRDefault="000D78D3" w:rsidP="00880E5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B3867">
              <w:rPr>
                <w:rFonts w:ascii="Times New Roman" w:eastAsia="標楷體" w:hAnsi="標楷體"/>
                <w:szCs w:val="24"/>
              </w:rPr>
              <w:t>適應症</w:t>
            </w:r>
          </w:p>
        </w:tc>
      </w:tr>
      <w:tr w:rsidR="000D78D3" w:rsidRPr="006B3867" w:rsidTr="000D78D3">
        <w:tc>
          <w:tcPr>
            <w:tcW w:w="1497" w:type="dxa"/>
          </w:tcPr>
          <w:p w:rsidR="000D78D3" w:rsidRPr="006B3867" w:rsidRDefault="000D78D3" w:rsidP="00880E57">
            <w:pPr>
              <w:rPr>
                <w:rFonts w:ascii="Times New Roman" w:eastAsia="標楷體" w:hAnsi="Times New Roman"/>
                <w:szCs w:val="24"/>
              </w:rPr>
            </w:pPr>
            <w:proofErr w:type="spellStart"/>
            <w:r w:rsidRPr="006B3867">
              <w:rPr>
                <w:rFonts w:ascii="Times New Roman" w:eastAsia="標楷體" w:hAnsi="Times New Roman"/>
                <w:szCs w:val="24"/>
              </w:rPr>
              <w:t>Desflurane</w:t>
            </w:r>
            <w:proofErr w:type="spellEnd"/>
          </w:p>
        </w:tc>
        <w:tc>
          <w:tcPr>
            <w:tcW w:w="7025" w:type="dxa"/>
          </w:tcPr>
          <w:p w:rsidR="000D78D3" w:rsidRPr="007C23B3" w:rsidRDefault="003B707A" w:rsidP="00FF2AE6">
            <w:pPr>
              <w:rPr>
                <w:rFonts w:ascii="Times New Roman" w:eastAsia="標楷體" w:hAnsi="Times New Roman"/>
                <w:szCs w:val="24"/>
              </w:rPr>
            </w:pPr>
            <w:r w:rsidRPr="007C23B3">
              <w:rPr>
                <w:rFonts w:ascii="Times New Roman" w:eastAsia="標楷體" w:hAnsi="標楷體"/>
                <w:szCs w:val="24"/>
              </w:rPr>
              <w:t>吸入性全身麻醉劑。說明：麻醉誘導</w:t>
            </w:r>
            <w:r w:rsidRPr="007C23B3">
              <w:rPr>
                <w:rFonts w:ascii="Times New Roman" w:eastAsia="標楷體" w:hAnsi="Times New Roman"/>
                <w:szCs w:val="24"/>
              </w:rPr>
              <w:t>SUPRANE</w:t>
            </w:r>
            <w:r w:rsidRPr="007C23B3">
              <w:rPr>
                <w:rFonts w:ascii="Times New Roman" w:eastAsia="標楷體" w:hAnsi="標楷體"/>
                <w:szCs w:val="24"/>
              </w:rPr>
              <w:t>適用於成人在住院及門診手術誘導期之吸入性麻醉劑。</w:t>
            </w:r>
            <w:r w:rsidRPr="007C23B3">
              <w:rPr>
                <w:rFonts w:ascii="Times New Roman" w:eastAsia="標楷體" w:hAnsi="Times New Roman"/>
                <w:szCs w:val="24"/>
              </w:rPr>
              <w:t>SUPRANE</w:t>
            </w:r>
            <w:r w:rsidRPr="007C23B3">
              <w:rPr>
                <w:rFonts w:ascii="Times New Roman" w:eastAsia="標楷體" w:hAnsi="標楷體"/>
                <w:szCs w:val="24"/>
              </w:rPr>
              <w:t>禁用做為兒科病患誘導用之吸入性麻醉劑，因為它會導致中至重度的上呼吸道不良反應。麻醉維持</w:t>
            </w:r>
            <w:r w:rsidRPr="007C23B3">
              <w:rPr>
                <w:rFonts w:ascii="Times New Roman" w:eastAsia="標楷體" w:hAnsi="Times New Roman"/>
                <w:szCs w:val="24"/>
              </w:rPr>
              <w:t>SUPRANE</w:t>
            </w:r>
            <w:r w:rsidRPr="007C23B3">
              <w:rPr>
                <w:rFonts w:ascii="Times New Roman" w:eastAsia="標楷體" w:hAnsi="標楷體"/>
                <w:szCs w:val="24"/>
              </w:rPr>
              <w:t>適用於成人與兒科病患住院或門診手術之吸入性麻醉維持。若</w:t>
            </w:r>
            <w:proofErr w:type="gramStart"/>
            <w:r w:rsidRPr="007C23B3">
              <w:rPr>
                <w:rFonts w:ascii="Times New Roman" w:eastAsia="標楷體" w:hAnsi="標楷體"/>
                <w:szCs w:val="24"/>
              </w:rPr>
              <w:t>以本藥以外</w:t>
            </w:r>
            <w:proofErr w:type="gramEnd"/>
            <w:r w:rsidRPr="007C23B3">
              <w:rPr>
                <w:rFonts w:ascii="Times New Roman" w:eastAsia="標楷體" w:hAnsi="標楷體"/>
                <w:szCs w:val="24"/>
              </w:rPr>
              <w:t>之吸入性麻醉藥來誘導與</w:t>
            </w:r>
            <w:proofErr w:type="gramStart"/>
            <w:r w:rsidRPr="007C23B3">
              <w:rPr>
                <w:rFonts w:ascii="Times New Roman" w:eastAsia="標楷體" w:hAnsi="標楷體"/>
                <w:szCs w:val="24"/>
              </w:rPr>
              <w:t>氣管插管</w:t>
            </w:r>
            <w:proofErr w:type="gramEnd"/>
            <w:r w:rsidRPr="007C23B3">
              <w:rPr>
                <w:rFonts w:ascii="Times New Roman" w:eastAsia="標楷體" w:hAnsi="標楷體"/>
                <w:szCs w:val="24"/>
              </w:rPr>
              <w:t>，</w:t>
            </w:r>
            <w:r w:rsidRPr="007C23B3">
              <w:rPr>
                <w:rFonts w:ascii="Times New Roman" w:eastAsia="標楷體" w:hAnsi="Times New Roman"/>
                <w:szCs w:val="24"/>
              </w:rPr>
              <w:t>SUPRANE</w:t>
            </w:r>
            <w:r w:rsidRPr="007C23B3">
              <w:rPr>
                <w:rFonts w:ascii="Times New Roman" w:eastAsia="標楷體" w:hAnsi="標楷體"/>
                <w:szCs w:val="24"/>
              </w:rPr>
              <w:t>可用在小孩及嬰兒麻醉維持。</w:t>
            </w:r>
            <w:r w:rsidRPr="007C23B3">
              <w:rPr>
                <w:rFonts w:ascii="Times New Roman" w:eastAsia="標楷體" w:hAnsi="Times New Roman"/>
                <w:szCs w:val="24"/>
              </w:rPr>
              <w:t>SUPRANE</w:t>
            </w:r>
            <w:r w:rsidRPr="007C23B3">
              <w:rPr>
                <w:rFonts w:ascii="Times New Roman" w:eastAsia="標楷體" w:hAnsi="標楷體"/>
                <w:szCs w:val="24"/>
              </w:rPr>
              <w:t>不適用於</w:t>
            </w:r>
            <w:proofErr w:type="gramStart"/>
            <w:r w:rsidRPr="007C23B3">
              <w:rPr>
                <w:rFonts w:ascii="Times New Roman" w:eastAsia="標楷體" w:hAnsi="標楷體"/>
                <w:szCs w:val="24"/>
              </w:rPr>
              <w:t>非插管之</w:t>
            </w:r>
            <w:proofErr w:type="gramEnd"/>
            <w:r w:rsidRPr="007C23B3">
              <w:rPr>
                <w:rFonts w:ascii="Times New Roman" w:eastAsia="標楷體" w:hAnsi="標楷體"/>
                <w:szCs w:val="24"/>
              </w:rPr>
              <w:t>幼童麻醉維持，因為</w:t>
            </w:r>
            <w:r w:rsidRPr="007C23B3">
              <w:rPr>
                <w:rFonts w:ascii="Times New Roman" w:eastAsia="標楷體" w:hAnsi="Times New Roman"/>
                <w:szCs w:val="24"/>
              </w:rPr>
              <w:t>SUPRANE</w:t>
            </w:r>
            <w:r w:rsidRPr="007C23B3">
              <w:rPr>
                <w:rFonts w:ascii="Times New Roman" w:eastAsia="標楷體" w:hAnsi="標楷體"/>
                <w:szCs w:val="24"/>
              </w:rPr>
              <w:t>極可能造成幼童之呼吸不良反應，包括：咳嗽、咽喉痙攣或刺激分泌產生。</w:t>
            </w:r>
          </w:p>
        </w:tc>
      </w:tr>
      <w:tr w:rsidR="000D78D3" w:rsidRPr="006B3867" w:rsidTr="000D78D3">
        <w:tc>
          <w:tcPr>
            <w:tcW w:w="1497" w:type="dxa"/>
          </w:tcPr>
          <w:p w:rsidR="000D78D3" w:rsidRPr="006B3867" w:rsidRDefault="000D78D3" w:rsidP="00880E57">
            <w:pPr>
              <w:rPr>
                <w:rFonts w:ascii="Times New Roman" w:eastAsia="標楷體" w:hAnsi="Times New Roman"/>
                <w:szCs w:val="24"/>
              </w:rPr>
            </w:pPr>
            <w:r w:rsidRPr="006B3867">
              <w:rPr>
                <w:rFonts w:ascii="Times New Roman" w:eastAsia="標楷體" w:hAnsi="Times New Roman"/>
                <w:szCs w:val="24"/>
              </w:rPr>
              <w:t>Isoflurane</w:t>
            </w:r>
          </w:p>
        </w:tc>
        <w:tc>
          <w:tcPr>
            <w:tcW w:w="7025" w:type="dxa"/>
          </w:tcPr>
          <w:p w:rsidR="000D78D3" w:rsidRPr="006B3867" w:rsidRDefault="000D78D3" w:rsidP="00880E57">
            <w:pPr>
              <w:rPr>
                <w:rFonts w:ascii="Times New Roman" w:eastAsia="標楷體" w:hAnsi="Times New Roman"/>
              </w:rPr>
            </w:pPr>
            <w:r w:rsidRPr="006B3867">
              <w:rPr>
                <w:rFonts w:ascii="Times New Roman" w:eastAsia="標楷體" w:hAnsi="標楷體"/>
              </w:rPr>
              <w:t>吸入性全身麻醉。</w:t>
            </w:r>
          </w:p>
        </w:tc>
      </w:tr>
      <w:tr w:rsidR="000D78D3" w:rsidRPr="006B3867" w:rsidTr="000D78D3">
        <w:tc>
          <w:tcPr>
            <w:tcW w:w="1497" w:type="dxa"/>
          </w:tcPr>
          <w:p w:rsidR="000D78D3" w:rsidRPr="006B3867" w:rsidRDefault="000D78D3" w:rsidP="00880E57">
            <w:pPr>
              <w:rPr>
                <w:rFonts w:ascii="Times New Roman" w:eastAsia="標楷體" w:hAnsi="Times New Roman"/>
                <w:szCs w:val="24"/>
              </w:rPr>
            </w:pPr>
            <w:r w:rsidRPr="006B3867">
              <w:rPr>
                <w:rFonts w:ascii="Times New Roman" w:eastAsia="標楷體" w:hAnsi="Times New Roman"/>
                <w:szCs w:val="24"/>
              </w:rPr>
              <w:t>Sevoflurane</w:t>
            </w:r>
          </w:p>
        </w:tc>
        <w:tc>
          <w:tcPr>
            <w:tcW w:w="7025" w:type="dxa"/>
          </w:tcPr>
          <w:p w:rsidR="000D78D3" w:rsidRPr="006B3867" w:rsidRDefault="000D78D3" w:rsidP="000D78D3">
            <w:pPr>
              <w:rPr>
                <w:rFonts w:ascii="Times New Roman" w:eastAsia="標楷體" w:hAnsi="Times New Roman"/>
              </w:rPr>
            </w:pPr>
            <w:r w:rsidRPr="006B3867">
              <w:rPr>
                <w:rFonts w:ascii="Times New Roman" w:eastAsia="標楷體" w:hAnsi="標楷體"/>
              </w:rPr>
              <w:t>吸入性全身麻醉。</w:t>
            </w:r>
          </w:p>
        </w:tc>
      </w:tr>
      <w:tr w:rsidR="000D78D3" w:rsidRPr="006B3867" w:rsidTr="000D78D3">
        <w:tc>
          <w:tcPr>
            <w:tcW w:w="1497" w:type="dxa"/>
          </w:tcPr>
          <w:p w:rsidR="000D78D3" w:rsidRPr="006B3867" w:rsidRDefault="000D78D3" w:rsidP="00880E57">
            <w:pPr>
              <w:rPr>
                <w:rFonts w:ascii="Times New Roman" w:eastAsia="標楷體" w:hAnsi="Times New Roman"/>
                <w:szCs w:val="24"/>
              </w:rPr>
            </w:pPr>
            <w:r w:rsidRPr="006B3867">
              <w:rPr>
                <w:rFonts w:ascii="Times New Roman" w:eastAsia="標楷體" w:hAnsi="Times New Roman"/>
                <w:szCs w:val="24"/>
              </w:rPr>
              <w:t>Etomidate</w:t>
            </w:r>
          </w:p>
        </w:tc>
        <w:tc>
          <w:tcPr>
            <w:tcW w:w="7025" w:type="dxa"/>
          </w:tcPr>
          <w:p w:rsidR="000D78D3" w:rsidRPr="006B3867" w:rsidRDefault="000D78D3" w:rsidP="00880E57">
            <w:pPr>
              <w:rPr>
                <w:rFonts w:ascii="Times New Roman" w:eastAsia="標楷體" w:hAnsi="Times New Roman"/>
              </w:rPr>
            </w:pPr>
            <w:r w:rsidRPr="006B3867">
              <w:rPr>
                <w:rFonts w:ascii="Times New Roman" w:eastAsia="標楷體" w:hAnsi="標楷體"/>
              </w:rPr>
              <w:t>靜脈注射麻醉劑。</w:t>
            </w:r>
          </w:p>
        </w:tc>
      </w:tr>
      <w:tr w:rsidR="000D78D3" w:rsidRPr="006B3867" w:rsidTr="000D78D3">
        <w:tc>
          <w:tcPr>
            <w:tcW w:w="1497" w:type="dxa"/>
          </w:tcPr>
          <w:p w:rsidR="000D78D3" w:rsidRPr="006B3867" w:rsidRDefault="000D78D3" w:rsidP="00880E57">
            <w:pPr>
              <w:rPr>
                <w:rFonts w:ascii="Times New Roman" w:eastAsia="標楷體" w:hAnsi="Times New Roman"/>
                <w:szCs w:val="24"/>
              </w:rPr>
            </w:pPr>
            <w:r w:rsidRPr="006B3867">
              <w:rPr>
                <w:rFonts w:ascii="Times New Roman" w:eastAsia="標楷體" w:hAnsi="Times New Roman"/>
                <w:szCs w:val="24"/>
              </w:rPr>
              <w:t>Ketamine</w:t>
            </w:r>
          </w:p>
        </w:tc>
        <w:tc>
          <w:tcPr>
            <w:tcW w:w="7025" w:type="dxa"/>
          </w:tcPr>
          <w:p w:rsidR="000D78D3" w:rsidRPr="006B3867" w:rsidRDefault="000D78D3" w:rsidP="00880E57">
            <w:pPr>
              <w:rPr>
                <w:rFonts w:ascii="Times New Roman" w:eastAsia="標楷體" w:hAnsi="Times New Roman"/>
              </w:rPr>
            </w:pPr>
            <w:r w:rsidRPr="006B3867">
              <w:rPr>
                <w:rFonts w:ascii="Times New Roman" w:eastAsia="標楷體" w:hAnsi="標楷體"/>
              </w:rPr>
              <w:t>全身麻醉。</w:t>
            </w:r>
          </w:p>
        </w:tc>
      </w:tr>
      <w:tr w:rsidR="000D78D3" w:rsidRPr="006B3867" w:rsidTr="000D78D3">
        <w:tc>
          <w:tcPr>
            <w:tcW w:w="1497" w:type="dxa"/>
          </w:tcPr>
          <w:p w:rsidR="000D78D3" w:rsidRPr="006B3867" w:rsidRDefault="000D78D3" w:rsidP="00880E57">
            <w:pPr>
              <w:rPr>
                <w:rFonts w:ascii="Times New Roman" w:eastAsia="標楷體" w:hAnsi="Times New Roman"/>
                <w:szCs w:val="24"/>
              </w:rPr>
            </w:pPr>
            <w:proofErr w:type="spellStart"/>
            <w:r w:rsidRPr="006B3867">
              <w:rPr>
                <w:rFonts w:ascii="Times New Roman" w:eastAsia="標楷體" w:hAnsi="Times New Roman"/>
                <w:szCs w:val="24"/>
              </w:rPr>
              <w:t>Propofol</w:t>
            </w:r>
            <w:proofErr w:type="spellEnd"/>
          </w:p>
        </w:tc>
        <w:tc>
          <w:tcPr>
            <w:tcW w:w="7025" w:type="dxa"/>
          </w:tcPr>
          <w:p w:rsidR="000D78D3" w:rsidRPr="006B3867" w:rsidRDefault="000D78D3" w:rsidP="00880E57">
            <w:pPr>
              <w:rPr>
                <w:rFonts w:ascii="Times New Roman" w:eastAsia="標楷體" w:hAnsi="Times New Roman"/>
              </w:rPr>
            </w:pPr>
            <w:r w:rsidRPr="006B3867">
              <w:rPr>
                <w:rFonts w:ascii="Times New Roman" w:eastAsia="標楷體" w:hAnsi="標楷體"/>
              </w:rPr>
              <w:t>靜脈注射麻醉劑，已住在加護病房中使用人工呼吸器之成人病人作為鎮靜之用。手術和侵襲性檢查時鎮靜用。</w:t>
            </w:r>
          </w:p>
        </w:tc>
      </w:tr>
      <w:tr w:rsidR="000D78D3" w:rsidRPr="006B3867" w:rsidTr="000D78D3">
        <w:tc>
          <w:tcPr>
            <w:tcW w:w="1497" w:type="dxa"/>
          </w:tcPr>
          <w:p w:rsidR="000D78D3" w:rsidRPr="006B3867" w:rsidRDefault="000D78D3" w:rsidP="00880E57">
            <w:pPr>
              <w:rPr>
                <w:rFonts w:ascii="Times New Roman" w:eastAsia="標楷體" w:hAnsi="Times New Roman"/>
                <w:szCs w:val="24"/>
              </w:rPr>
            </w:pPr>
            <w:r w:rsidRPr="006B3867">
              <w:rPr>
                <w:rFonts w:ascii="Times New Roman" w:eastAsia="標楷體" w:hAnsi="Times New Roman"/>
                <w:szCs w:val="24"/>
              </w:rPr>
              <w:t>Lorazepam</w:t>
            </w:r>
          </w:p>
        </w:tc>
        <w:tc>
          <w:tcPr>
            <w:tcW w:w="7025" w:type="dxa"/>
          </w:tcPr>
          <w:p w:rsidR="000D78D3" w:rsidRPr="006B3867" w:rsidRDefault="000D78D3" w:rsidP="000D78D3">
            <w:pPr>
              <w:rPr>
                <w:rFonts w:ascii="Times New Roman" w:eastAsia="標楷體" w:hAnsi="Times New Roman"/>
              </w:rPr>
            </w:pPr>
            <w:r w:rsidRPr="006B3867">
              <w:rPr>
                <w:rFonts w:ascii="Times New Roman" w:eastAsia="標楷體" w:hAnsi="標楷體"/>
              </w:rPr>
              <w:t>焦慮狀態。</w:t>
            </w:r>
          </w:p>
        </w:tc>
      </w:tr>
      <w:tr w:rsidR="000D78D3" w:rsidRPr="006B3867" w:rsidTr="000D78D3">
        <w:tc>
          <w:tcPr>
            <w:tcW w:w="1497" w:type="dxa"/>
          </w:tcPr>
          <w:p w:rsidR="000D78D3" w:rsidRPr="006B3867" w:rsidRDefault="000D78D3" w:rsidP="00880E57">
            <w:pPr>
              <w:rPr>
                <w:rFonts w:ascii="Times New Roman" w:eastAsia="標楷體" w:hAnsi="Times New Roman"/>
                <w:szCs w:val="24"/>
              </w:rPr>
            </w:pPr>
            <w:r w:rsidRPr="006B3867">
              <w:rPr>
                <w:rFonts w:ascii="Times New Roman" w:eastAsia="標楷體" w:hAnsi="Times New Roman"/>
                <w:szCs w:val="24"/>
              </w:rPr>
              <w:t>Midazolam</w:t>
            </w:r>
          </w:p>
        </w:tc>
        <w:tc>
          <w:tcPr>
            <w:tcW w:w="7025" w:type="dxa"/>
          </w:tcPr>
          <w:p w:rsidR="000D78D3" w:rsidRPr="006B3867" w:rsidRDefault="000D78D3" w:rsidP="00880E57">
            <w:pPr>
              <w:rPr>
                <w:rFonts w:ascii="Times New Roman" w:eastAsia="標楷體" w:hAnsi="Times New Roman"/>
              </w:rPr>
            </w:pPr>
            <w:r w:rsidRPr="006B3867">
              <w:rPr>
                <w:rFonts w:ascii="Times New Roman" w:eastAsia="標楷體" w:hAnsi="標楷體"/>
              </w:rPr>
              <w:t>知覺</w:t>
            </w:r>
            <w:proofErr w:type="gramStart"/>
            <w:r w:rsidRPr="006B3867">
              <w:rPr>
                <w:rFonts w:ascii="Times New Roman" w:eastAsia="標楷體" w:hAnsi="標楷體"/>
              </w:rPr>
              <w:t>鎮靜、</w:t>
            </w:r>
            <w:proofErr w:type="gramEnd"/>
            <w:r w:rsidRPr="006B3867">
              <w:rPr>
                <w:rFonts w:ascii="Times New Roman" w:eastAsia="標楷體" w:hAnsi="標楷體"/>
              </w:rPr>
              <w:t>急救加護病房</w:t>
            </w:r>
            <w:proofErr w:type="gramStart"/>
            <w:r w:rsidRPr="006B3867">
              <w:rPr>
                <w:rFonts w:ascii="Times New Roman" w:eastAsia="標楷體" w:hAnsi="標楷體"/>
              </w:rPr>
              <w:t>鎮靜、</w:t>
            </w:r>
            <w:proofErr w:type="gramEnd"/>
            <w:r w:rsidRPr="006B3867">
              <w:rPr>
                <w:rFonts w:ascii="Times New Roman" w:eastAsia="標楷體" w:hAnsi="標楷體"/>
              </w:rPr>
              <w:t>麻醉誘導及維持、手術前給藥。</w:t>
            </w:r>
          </w:p>
        </w:tc>
      </w:tr>
    </w:tbl>
    <w:p w:rsidR="008D1FC4" w:rsidRPr="00985704" w:rsidRDefault="008D1FC4" w:rsidP="008D1FC4">
      <w:pPr>
        <w:pStyle w:val="1"/>
        <w:spacing w:before="0" w:beforeAutospacing="0" w:after="0" w:afterAutospacing="0" w:line="240" w:lineRule="atLeast"/>
        <w:jc w:val="both"/>
        <w:rPr>
          <w:rFonts w:ascii="Times New Roman" w:eastAsia="標楷體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8D1FC4" w:rsidRPr="00985704" w:rsidRDefault="008D1FC4" w:rsidP="008D1FC4">
      <w:pPr>
        <w:pStyle w:val="1"/>
        <w:spacing w:before="0" w:beforeAutospacing="0" w:after="0" w:afterAutospacing="0" w:line="240" w:lineRule="atLeast"/>
        <w:ind w:left="425" w:hangingChars="177" w:hanging="425"/>
        <w:jc w:val="both"/>
        <w:rPr>
          <w:rFonts w:ascii="Times New Roman" w:eastAsia="標楷體" w:hAnsi="Times New Roman" w:cs="Times New Roman"/>
          <w:b w:val="0"/>
          <w:bCs w:val="0"/>
          <w:color w:val="000000" w:themeColor="text1"/>
          <w:sz w:val="24"/>
          <w:szCs w:val="24"/>
        </w:rPr>
      </w:pPr>
      <w:proofErr w:type="gramStart"/>
      <w:r w:rsidRPr="00985704">
        <w:rPr>
          <w:rFonts w:ascii="Times New Roman" w:eastAsia="標楷體" w:hAnsi="標楷體" w:cs="Times New Roman"/>
          <w:b w:val="0"/>
          <w:bCs w:val="0"/>
          <w:color w:val="000000" w:themeColor="text1"/>
          <w:sz w:val="24"/>
          <w:szCs w:val="24"/>
        </w:rPr>
        <w:t>註</w:t>
      </w:r>
      <w:proofErr w:type="gramEnd"/>
      <w:r w:rsidRPr="00985704">
        <w:rPr>
          <w:rFonts w:ascii="Times New Roman" w:eastAsia="標楷體" w:hAnsi="標楷體" w:cs="Times New Roman"/>
          <w:b w:val="0"/>
          <w:bCs w:val="0"/>
          <w:color w:val="000000" w:themeColor="text1"/>
          <w:sz w:val="24"/>
          <w:szCs w:val="24"/>
        </w:rPr>
        <w:t>：</w:t>
      </w:r>
      <w:proofErr w:type="gramStart"/>
      <w:r w:rsidRPr="00985704">
        <w:rPr>
          <w:rFonts w:ascii="Times New Roman" w:eastAsia="標楷體" w:hAnsi="標楷體" w:cs="Times New Roman"/>
          <w:b w:val="0"/>
          <w:bCs w:val="0"/>
          <w:color w:val="000000" w:themeColor="text1"/>
          <w:sz w:val="24"/>
          <w:szCs w:val="24"/>
        </w:rPr>
        <w:t>查無含</w:t>
      </w:r>
      <w:proofErr w:type="gramEnd"/>
      <w:r w:rsidRPr="00985704">
        <w:rPr>
          <w:rFonts w:ascii="Times New Roman" w:eastAsia="標楷體" w:hAnsi="Times New Roman" w:cs="Times New Roman"/>
          <w:b w:val="0"/>
          <w:bCs w:val="0"/>
          <w:color w:val="000000" w:themeColor="text1"/>
          <w:sz w:val="24"/>
          <w:szCs w:val="24"/>
        </w:rPr>
        <w:t>halothane</w:t>
      </w:r>
      <w:r w:rsidRPr="00985704">
        <w:rPr>
          <w:rFonts w:ascii="Times New Roman" w:eastAsia="標楷體" w:hAnsi="標楷體" w:cs="Times New Roman"/>
          <w:b w:val="0"/>
          <w:bCs w:val="0"/>
          <w:color w:val="000000" w:themeColor="text1"/>
          <w:sz w:val="24"/>
          <w:szCs w:val="24"/>
        </w:rPr>
        <w:t>、</w:t>
      </w:r>
      <w:proofErr w:type="spellStart"/>
      <w:r w:rsidRPr="00985704">
        <w:rPr>
          <w:rFonts w:ascii="Times New Roman" w:eastAsia="標楷體" w:hAnsi="Times New Roman" w:cs="Times New Roman"/>
          <w:b w:val="0"/>
          <w:bCs w:val="0"/>
          <w:color w:val="000000" w:themeColor="text1"/>
          <w:sz w:val="24"/>
          <w:szCs w:val="24"/>
        </w:rPr>
        <w:t>methohexital</w:t>
      </w:r>
      <w:proofErr w:type="spellEnd"/>
      <w:r w:rsidRPr="00985704">
        <w:rPr>
          <w:rFonts w:ascii="Times New Roman" w:eastAsia="標楷體" w:hAnsi="標楷體" w:cs="Times New Roman"/>
          <w:b w:val="0"/>
          <w:bCs w:val="0"/>
          <w:color w:val="000000" w:themeColor="text1"/>
          <w:sz w:val="24"/>
          <w:szCs w:val="24"/>
        </w:rPr>
        <w:t>、</w:t>
      </w:r>
      <w:r w:rsidRPr="00985704">
        <w:rPr>
          <w:rFonts w:ascii="Times New Roman" w:eastAsia="標楷體" w:hAnsi="Times New Roman" w:cs="Times New Roman"/>
          <w:b w:val="0"/>
          <w:bCs w:val="0"/>
          <w:color w:val="000000" w:themeColor="text1"/>
          <w:sz w:val="24"/>
          <w:szCs w:val="24"/>
        </w:rPr>
        <w:t>pentobarbital</w:t>
      </w:r>
      <w:r w:rsidRPr="00985704">
        <w:rPr>
          <w:rFonts w:ascii="Times New Roman" w:eastAsia="標楷體" w:hAnsi="標楷體" w:cs="Times New Roman"/>
          <w:b w:val="0"/>
          <w:bCs w:val="0"/>
          <w:color w:val="000000" w:themeColor="text1"/>
          <w:sz w:val="24"/>
          <w:szCs w:val="24"/>
        </w:rPr>
        <w:t>成分製劑和含</w:t>
      </w:r>
      <w:r w:rsidRPr="00985704">
        <w:rPr>
          <w:rFonts w:ascii="Times New Roman" w:eastAsia="標楷體" w:hAnsi="Times New Roman" w:cs="Times New Roman"/>
          <w:b w:val="0"/>
          <w:bCs w:val="0"/>
          <w:color w:val="000000" w:themeColor="text1"/>
          <w:sz w:val="24"/>
          <w:szCs w:val="24"/>
        </w:rPr>
        <w:t>midazolam</w:t>
      </w:r>
      <w:r w:rsidRPr="00985704">
        <w:rPr>
          <w:rFonts w:ascii="Times New Roman" w:eastAsia="標楷體" w:hAnsi="標楷體" w:cs="Times New Roman"/>
          <w:b w:val="0"/>
          <w:bCs w:val="0"/>
          <w:color w:val="000000" w:themeColor="text1"/>
          <w:sz w:val="24"/>
          <w:szCs w:val="24"/>
        </w:rPr>
        <w:t>成分糖漿劑之藥品許可證。</w:t>
      </w:r>
    </w:p>
    <w:p w:rsidR="00211E09" w:rsidRPr="00853ECD" w:rsidRDefault="00211E09">
      <w:pPr>
        <w:rPr>
          <w:rFonts w:ascii="Arial" w:eastAsia="標楷體" w:hAnsi="Arial"/>
        </w:rPr>
      </w:pPr>
    </w:p>
    <w:sectPr w:rsidR="00211E09" w:rsidRPr="00853ECD" w:rsidSect="006448F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C64" w:rsidRDefault="00453C64" w:rsidP="003B56BC">
      <w:r>
        <w:separator/>
      </w:r>
    </w:p>
  </w:endnote>
  <w:endnote w:type="continuationSeparator" w:id="0">
    <w:p w:rsidR="00453C64" w:rsidRDefault="00453C64" w:rsidP="003B5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C64" w:rsidRDefault="00453C64" w:rsidP="003B56BC">
      <w:r>
        <w:separator/>
      </w:r>
    </w:p>
  </w:footnote>
  <w:footnote w:type="continuationSeparator" w:id="0">
    <w:p w:rsidR="00453C64" w:rsidRDefault="00453C64" w:rsidP="003B5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5665"/>
    <w:multiLevelType w:val="hybridMultilevel"/>
    <w:tmpl w:val="F1701190"/>
    <w:lvl w:ilvl="0" w:tplc="7A962CDA">
      <w:start w:val="99"/>
      <w:numFmt w:val="bullet"/>
      <w:lvlText w:val="◎"/>
      <w:lvlJc w:val="left"/>
      <w:pPr>
        <w:tabs>
          <w:tab w:val="num" w:pos="346"/>
        </w:tabs>
        <w:ind w:left="346" w:hanging="360"/>
      </w:pPr>
      <w:rPr>
        <w:rFonts w:ascii="標楷體" w:eastAsia="標楷體" w:hAnsi="標楷體" w:hint="eastAsia"/>
      </w:rPr>
    </w:lvl>
    <w:lvl w:ilvl="1" w:tplc="92D8E6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5ECE38E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5994B92"/>
    <w:multiLevelType w:val="hybridMultilevel"/>
    <w:tmpl w:val="59023E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6EE60962">
      <w:start w:val="1"/>
      <w:numFmt w:val="lowerRoman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61D7BDC"/>
    <w:multiLevelType w:val="hybridMultilevel"/>
    <w:tmpl w:val="C020FC8A"/>
    <w:lvl w:ilvl="0" w:tplc="92D8E60C">
      <w:start w:val="1"/>
      <w:numFmt w:val="decimal"/>
      <w:lvlText w:val="%1."/>
      <w:lvlJc w:val="left"/>
      <w:pPr>
        <w:ind w:left="826" w:hanging="480"/>
      </w:pPr>
      <w:rPr>
        <w:rFonts w:cs="Times New Roman"/>
      </w:rPr>
    </w:lvl>
    <w:lvl w:ilvl="1" w:tplc="6EE60962">
      <w:start w:val="1"/>
      <w:numFmt w:val="lowerRoman"/>
      <w:lvlText w:val="%2."/>
      <w:lvlJc w:val="left"/>
      <w:pPr>
        <w:ind w:left="1306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</w:lvl>
    <w:lvl w:ilvl="3" w:tplc="0409000F" w:tentative="1">
      <w:start w:val="1"/>
      <w:numFmt w:val="decimal"/>
      <w:lvlText w:val="%4."/>
      <w:lvlJc w:val="left"/>
      <w:pPr>
        <w:ind w:left="22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</w:lvl>
    <w:lvl w:ilvl="6" w:tplc="0409000F" w:tentative="1">
      <w:start w:val="1"/>
      <w:numFmt w:val="decimal"/>
      <w:lvlText w:val="%7."/>
      <w:lvlJc w:val="left"/>
      <w:pPr>
        <w:ind w:left="37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</w:lvl>
  </w:abstractNum>
  <w:abstractNum w:abstractNumId="3">
    <w:nsid w:val="4C773CF2"/>
    <w:multiLevelType w:val="hybridMultilevel"/>
    <w:tmpl w:val="563A845C"/>
    <w:lvl w:ilvl="0" w:tplc="DEE0F4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39B4BD5"/>
    <w:multiLevelType w:val="hybridMultilevel"/>
    <w:tmpl w:val="5414DF1A"/>
    <w:lvl w:ilvl="0" w:tplc="0409000F">
      <w:start w:val="1"/>
      <w:numFmt w:val="decimal"/>
      <w:lvlText w:val="%1."/>
      <w:lvlJc w:val="left"/>
      <w:pPr>
        <w:ind w:left="826" w:hanging="480"/>
      </w:pPr>
    </w:lvl>
    <w:lvl w:ilvl="1" w:tplc="6EE60962">
      <w:start w:val="1"/>
      <w:numFmt w:val="lowerRoman"/>
      <w:lvlText w:val="%2."/>
      <w:lvlJc w:val="left"/>
      <w:pPr>
        <w:ind w:left="1306" w:hanging="480"/>
      </w:pPr>
      <w:rPr>
        <w:rFonts w:hint="eastAsia"/>
      </w:rPr>
    </w:lvl>
    <w:lvl w:ilvl="2" w:tplc="95ECE38E">
      <w:start w:val="1"/>
      <w:numFmt w:val="lowerLetter"/>
      <w:lvlText w:val="%3."/>
      <w:lvlJc w:val="left"/>
      <w:pPr>
        <w:ind w:left="1786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2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</w:lvl>
    <w:lvl w:ilvl="6" w:tplc="0409000F" w:tentative="1">
      <w:start w:val="1"/>
      <w:numFmt w:val="decimal"/>
      <w:lvlText w:val="%7."/>
      <w:lvlJc w:val="left"/>
      <w:pPr>
        <w:ind w:left="37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41"/>
    <w:rsid w:val="000007D6"/>
    <w:rsid w:val="0000533D"/>
    <w:rsid w:val="00007314"/>
    <w:rsid w:val="00011906"/>
    <w:rsid w:val="000125F7"/>
    <w:rsid w:val="00014990"/>
    <w:rsid w:val="00017171"/>
    <w:rsid w:val="00017AD6"/>
    <w:rsid w:val="00032A84"/>
    <w:rsid w:val="0003449A"/>
    <w:rsid w:val="0003455D"/>
    <w:rsid w:val="00035F42"/>
    <w:rsid w:val="00040AC8"/>
    <w:rsid w:val="000417A7"/>
    <w:rsid w:val="0004206A"/>
    <w:rsid w:val="00043ADF"/>
    <w:rsid w:val="0004625C"/>
    <w:rsid w:val="00051FB4"/>
    <w:rsid w:val="000531D7"/>
    <w:rsid w:val="00057BAD"/>
    <w:rsid w:val="0006115A"/>
    <w:rsid w:val="000636B3"/>
    <w:rsid w:val="00063954"/>
    <w:rsid w:val="0006542C"/>
    <w:rsid w:val="00065D93"/>
    <w:rsid w:val="0006625A"/>
    <w:rsid w:val="000705C6"/>
    <w:rsid w:val="000723C9"/>
    <w:rsid w:val="000750FE"/>
    <w:rsid w:val="000841D6"/>
    <w:rsid w:val="00087192"/>
    <w:rsid w:val="00091695"/>
    <w:rsid w:val="00091CFE"/>
    <w:rsid w:val="000926E5"/>
    <w:rsid w:val="00093776"/>
    <w:rsid w:val="0009412B"/>
    <w:rsid w:val="000944B2"/>
    <w:rsid w:val="00095F4A"/>
    <w:rsid w:val="00096F70"/>
    <w:rsid w:val="00097928"/>
    <w:rsid w:val="000A3C3D"/>
    <w:rsid w:val="000A3E05"/>
    <w:rsid w:val="000A4C28"/>
    <w:rsid w:val="000B68C1"/>
    <w:rsid w:val="000B7771"/>
    <w:rsid w:val="000C168C"/>
    <w:rsid w:val="000C5E6B"/>
    <w:rsid w:val="000C705F"/>
    <w:rsid w:val="000C72AC"/>
    <w:rsid w:val="000D4F86"/>
    <w:rsid w:val="000D56FD"/>
    <w:rsid w:val="000D5701"/>
    <w:rsid w:val="000D5C02"/>
    <w:rsid w:val="000D6EA5"/>
    <w:rsid w:val="000D78D3"/>
    <w:rsid w:val="000E26A1"/>
    <w:rsid w:val="000E3A8B"/>
    <w:rsid w:val="000E62DA"/>
    <w:rsid w:val="000E6892"/>
    <w:rsid w:val="000E7A87"/>
    <w:rsid w:val="000F0895"/>
    <w:rsid w:val="000F2C36"/>
    <w:rsid w:val="000F381D"/>
    <w:rsid w:val="000F5BF9"/>
    <w:rsid w:val="000F6A71"/>
    <w:rsid w:val="001037C9"/>
    <w:rsid w:val="00104870"/>
    <w:rsid w:val="001049E0"/>
    <w:rsid w:val="00105264"/>
    <w:rsid w:val="00105D48"/>
    <w:rsid w:val="001105BA"/>
    <w:rsid w:val="00110777"/>
    <w:rsid w:val="001134EE"/>
    <w:rsid w:val="0011359D"/>
    <w:rsid w:val="001164B5"/>
    <w:rsid w:val="00117D49"/>
    <w:rsid w:val="0012132F"/>
    <w:rsid w:val="0013078F"/>
    <w:rsid w:val="00132D97"/>
    <w:rsid w:val="00133461"/>
    <w:rsid w:val="001352B5"/>
    <w:rsid w:val="00136184"/>
    <w:rsid w:val="001365D2"/>
    <w:rsid w:val="00140034"/>
    <w:rsid w:val="001409C3"/>
    <w:rsid w:val="0014407A"/>
    <w:rsid w:val="001445BC"/>
    <w:rsid w:val="00145A9D"/>
    <w:rsid w:val="00150360"/>
    <w:rsid w:val="00151CE0"/>
    <w:rsid w:val="00153858"/>
    <w:rsid w:val="00154725"/>
    <w:rsid w:val="00157367"/>
    <w:rsid w:val="0015736A"/>
    <w:rsid w:val="001573A0"/>
    <w:rsid w:val="00161DFA"/>
    <w:rsid w:val="001621B1"/>
    <w:rsid w:val="00162D57"/>
    <w:rsid w:val="00165E7F"/>
    <w:rsid w:val="00167294"/>
    <w:rsid w:val="001712B3"/>
    <w:rsid w:val="00172779"/>
    <w:rsid w:val="00172C22"/>
    <w:rsid w:val="001735F9"/>
    <w:rsid w:val="001842A5"/>
    <w:rsid w:val="00186E8F"/>
    <w:rsid w:val="00186FAA"/>
    <w:rsid w:val="001938C0"/>
    <w:rsid w:val="001955CC"/>
    <w:rsid w:val="001979BC"/>
    <w:rsid w:val="001A3CD6"/>
    <w:rsid w:val="001A4D14"/>
    <w:rsid w:val="001A62F6"/>
    <w:rsid w:val="001A7BD8"/>
    <w:rsid w:val="001B0AB6"/>
    <w:rsid w:val="001B0AC6"/>
    <w:rsid w:val="001B19B5"/>
    <w:rsid w:val="001B2908"/>
    <w:rsid w:val="001B36F2"/>
    <w:rsid w:val="001B5163"/>
    <w:rsid w:val="001B630E"/>
    <w:rsid w:val="001C360A"/>
    <w:rsid w:val="001C5A1B"/>
    <w:rsid w:val="001D14F4"/>
    <w:rsid w:val="001D313D"/>
    <w:rsid w:val="001D3EBA"/>
    <w:rsid w:val="001D43BC"/>
    <w:rsid w:val="001D5A9C"/>
    <w:rsid w:val="001D5D19"/>
    <w:rsid w:val="001D683C"/>
    <w:rsid w:val="001D684A"/>
    <w:rsid w:val="001D6C93"/>
    <w:rsid w:val="001D789A"/>
    <w:rsid w:val="001E1874"/>
    <w:rsid w:val="001E1F05"/>
    <w:rsid w:val="001E236F"/>
    <w:rsid w:val="001E4113"/>
    <w:rsid w:val="001E4D43"/>
    <w:rsid w:val="001E61D5"/>
    <w:rsid w:val="001E6F73"/>
    <w:rsid w:val="001E6F88"/>
    <w:rsid w:val="001F1C58"/>
    <w:rsid w:val="001F2486"/>
    <w:rsid w:val="001F3E0B"/>
    <w:rsid w:val="001F7035"/>
    <w:rsid w:val="001F7358"/>
    <w:rsid w:val="001F74A7"/>
    <w:rsid w:val="001F7A60"/>
    <w:rsid w:val="00200D95"/>
    <w:rsid w:val="00202C1E"/>
    <w:rsid w:val="00203113"/>
    <w:rsid w:val="00211E09"/>
    <w:rsid w:val="002122E7"/>
    <w:rsid w:val="0021575E"/>
    <w:rsid w:val="00215F9D"/>
    <w:rsid w:val="00217579"/>
    <w:rsid w:val="002212A6"/>
    <w:rsid w:val="00222020"/>
    <w:rsid w:val="00223CBC"/>
    <w:rsid w:val="00224B71"/>
    <w:rsid w:val="00224F29"/>
    <w:rsid w:val="00225A8B"/>
    <w:rsid w:val="00227525"/>
    <w:rsid w:val="00230DC3"/>
    <w:rsid w:val="00233457"/>
    <w:rsid w:val="00233E51"/>
    <w:rsid w:val="00235F72"/>
    <w:rsid w:val="00240B54"/>
    <w:rsid w:val="00241556"/>
    <w:rsid w:val="002420D6"/>
    <w:rsid w:val="002445F4"/>
    <w:rsid w:val="00245F3C"/>
    <w:rsid w:val="00246966"/>
    <w:rsid w:val="002501BB"/>
    <w:rsid w:val="0025164B"/>
    <w:rsid w:val="00252DD4"/>
    <w:rsid w:val="00252E0A"/>
    <w:rsid w:val="00253916"/>
    <w:rsid w:val="00255170"/>
    <w:rsid w:val="002552ED"/>
    <w:rsid w:val="00255D58"/>
    <w:rsid w:val="002647F8"/>
    <w:rsid w:val="00264F16"/>
    <w:rsid w:val="00265388"/>
    <w:rsid w:val="00265786"/>
    <w:rsid w:val="002670EB"/>
    <w:rsid w:val="00270E2E"/>
    <w:rsid w:val="00270FCE"/>
    <w:rsid w:val="0027104D"/>
    <w:rsid w:val="0027252E"/>
    <w:rsid w:val="0027402D"/>
    <w:rsid w:val="0027776F"/>
    <w:rsid w:val="002806CF"/>
    <w:rsid w:val="0028110C"/>
    <w:rsid w:val="002853C3"/>
    <w:rsid w:val="00285934"/>
    <w:rsid w:val="00287331"/>
    <w:rsid w:val="002A0D15"/>
    <w:rsid w:val="002A2CDB"/>
    <w:rsid w:val="002A3A80"/>
    <w:rsid w:val="002A3E0E"/>
    <w:rsid w:val="002A4084"/>
    <w:rsid w:val="002A730B"/>
    <w:rsid w:val="002B0394"/>
    <w:rsid w:val="002B232A"/>
    <w:rsid w:val="002B3148"/>
    <w:rsid w:val="002B3527"/>
    <w:rsid w:val="002B782E"/>
    <w:rsid w:val="002B7ACE"/>
    <w:rsid w:val="002C0F1D"/>
    <w:rsid w:val="002C5626"/>
    <w:rsid w:val="002C7C0E"/>
    <w:rsid w:val="002D28A6"/>
    <w:rsid w:val="002D3FC9"/>
    <w:rsid w:val="002D6EA2"/>
    <w:rsid w:val="002E4D70"/>
    <w:rsid w:val="002F036F"/>
    <w:rsid w:val="002F0B94"/>
    <w:rsid w:val="0030181F"/>
    <w:rsid w:val="00302511"/>
    <w:rsid w:val="003025BF"/>
    <w:rsid w:val="00302612"/>
    <w:rsid w:val="00303922"/>
    <w:rsid w:val="00304931"/>
    <w:rsid w:val="00306E81"/>
    <w:rsid w:val="00313163"/>
    <w:rsid w:val="003209F3"/>
    <w:rsid w:val="0032549B"/>
    <w:rsid w:val="003269B3"/>
    <w:rsid w:val="003329B3"/>
    <w:rsid w:val="00336369"/>
    <w:rsid w:val="00337644"/>
    <w:rsid w:val="0034212D"/>
    <w:rsid w:val="00343680"/>
    <w:rsid w:val="00344761"/>
    <w:rsid w:val="00344FEF"/>
    <w:rsid w:val="00346490"/>
    <w:rsid w:val="00351B6F"/>
    <w:rsid w:val="003569F9"/>
    <w:rsid w:val="003577D0"/>
    <w:rsid w:val="00357EF8"/>
    <w:rsid w:val="00364D13"/>
    <w:rsid w:val="003708D0"/>
    <w:rsid w:val="00370EB4"/>
    <w:rsid w:val="003711B9"/>
    <w:rsid w:val="00380E14"/>
    <w:rsid w:val="003816DB"/>
    <w:rsid w:val="00382B52"/>
    <w:rsid w:val="00382E7A"/>
    <w:rsid w:val="003850C5"/>
    <w:rsid w:val="00387C17"/>
    <w:rsid w:val="003903F4"/>
    <w:rsid w:val="00390772"/>
    <w:rsid w:val="00390F60"/>
    <w:rsid w:val="00391418"/>
    <w:rsid w:val="00394DA5"/>
    <w:rsid w:val="00397586"/>
    <w:rsid w:val="003A2A24"/>
    <w:rsid w:val="003A30BE"/>
    <w:rsid w:val="003A5B26"/>
    <w:rsid w:val="003A62E2"/>
    <w:rsid w:val="003A654F"/>
    <w:rsid w:val="003A66CF"/>
    <w:rsid w:val="003B09F6"/>
    <w:rsid w:val="003B36A0"/>
    <w:rsid w:val="003B53BF"/>
    <w:rsid w:val="003B56BC"/>
    <w:rsid w:val="003B707A"/>
    <w:rsid w:val="003C06EB"/>
    <w:rsid w:val="003C0E64"/>
    <w:rsid w:val="003C54B8"/>
    <w:rsid w:val="003D16F1"/>
    <w:rsid w:val="003D5187"/>
    <w:rsid w:val="003D56ED"/>
    <w:rsid w:val="003D7C9A"/>
    <w:rsid w:val="003E054A"/>
    <w:rsid w:val="003E280C"/>
    <w:rsid w:val="003E2B3B"/>
    <w:rsid w:val="003E3F6A"/>
    <w:rsid w:val="003E558F"/>
    <w:rsid w:val="003E648E"/>
    <w:rsid w:val="003F3F3C"/>
    <w:rsid w:val="003F5161"/>
    <w:rsid w:val="00400BCB"/>
    <w:rsid w:val="00401BF5"/>
    <w:rsid w:val="00410160"/>
    <w:rsid w:val="00412970"/>
    <w:rsid w:val="00416206"/>
    <w:rsid w:val="00417455"/>
    <w:rsid w:val="00424364"/>
    <w:rsid w:val="00424A9E"/>
    <w:rsid w:val="0042553C"/>
    <w:rsid w:val="0043191F"/>
    <w:rsid w:val="00431A54"/>
    <w:rsid w:val="00431E8B"/>
    <w:rsid w:val="00433672"/>
    <w:rsid w:val="00435CFA"/>
    <w:rsid w:val="00437BEF"/>
    <w:rsid w:val="00440950"/>
    <w:rsid w:val="00440CC2"/>
    <w:rsid w:val="00442988"/>
    <w:rsid w:val="00442CBD"/>
    <w:rsid w:val="004430A7"/>
    <w:rsid w:val="00443436"/>
    <w:rsid w:val="004518A5"/>
    <w:rsid w:val="004524B0"/>
    <w:rsid w:val="00453C64"/>
    <w:rsid w:val="004559E9"/>
    <w:rsid w:val="00463BC6"/>
    <w:rsid w:val="004669F4"/>
    <w:rsid w:val="00466ED1"/>
    <w:rsid w:val="00470B91"/>
    <w:rsid w:val="0047128D"/>
    <w:rsid w:val="0048216C"/>
    <w:rsid w:val="004855A8"/>
    <w:rsid w:val="0048634C"/>
    <w:rsid w:val="00491E85"/>
    <w:rsid w:val="0049296B"/>
    <w:rsid w:val="00494350"/>
    <w:rsid w:val="004948DF"/>
    <w:rsid w:val="00494B0B"/>
    <w:rsid w:val="00494FF4"/>
    <w:rsid w:val="004956BA"/>
    <w:rsid w:val="004978C9"/>
    <w:rsid w:val="00497C21"/>
    <w:rsid w:val="004A1947"/>
    <w:rsid w:val="004A2826"/>
    <w:rsid w:val="004A2E20"/>
    <w:rsid w:val="004A4059"/>
    <w:rsid w:val="004A6B50"/>
    <w:rsid w:val="004B16FC"/>
    <w:rsid w:val="004B1894"/>
    <w:rsid w:val="004B4590"/>
    <w:rsid w:val="004B470A"/>
    <w:rsid w:val="004B490F"/>
    <w:rsid w:val="004B5265"/>
    <w:rsid w:val="004B673A"/>
    <w:rsid w:val="004C036F"/>
    <w:rsid w:val="004C42B9"/>
    <w:rsid w:val="004C643C"/>
    <w:rsid w:val="004D02EB"/>
    <w:rsid w:val="004D2A84"/>
    <w:rsid w:val="004E0ED4"/>
    <w:rsid w:val="004E45A4"/>
    <w:rsid w:val="004E50EE"/>
    <w:rsid w:val="004E5C9D"/>
    <w:rsid w:val="004E64B6"/>
    <w:rsid w:val="004F06FF"/>
    <w:rsid w:val="004F253D"/>
    <w:rsid w:val="004F2FA5"/>
    <w:rsid w:val="004F39CC"/>
    <w:rsid w:val="004F76B1"/>
    <w:rsid w:val="00500620"/>
    <w:rsid w:val="005022C4"/>
    <w:rsid w:val="00502637"/>
    <w:rsid w:val="005065C7"/>
    <w:rsid w:val="00512FC8"/>
    <w:rsid w:val="00513748"/>
    <w:rsid w:val="00514D03"/>
    <w:rsid w:val="00524A2E"/>
    <w:rsid w:val="00525106"/>
    <w:rsid w:val="00525D2E"/>
    <w:rsid w:val="005302BF"/>
    <w:rsid w:val="005306FD"/>
    <w:rsid w:val="005313F0"/>
    <w:rsid w:val="0053782D"/>
    <w:rsid w:val="00540651"/>
    <w:rsid w:val="00541C57"/>
    <w:rsid w:val="00542A08"/>
    <w:rsid w:val="0054364B"/>
    <w:rsid w:val="005441B0"/>
    <w:rsid w:val="00544659"/>
    <w:rsid w:val="00546578"/>
    <w:rsid w:val="0055218E"/>
    <w:rsid w:val="0056018A"/>
    <w:rsid w:val="00563392"/>
    <w:rsid w:val="00567D81"/>
    <w:rsid w:val="00570194"/>
    <w:rsid w:val="00573145"/>
    <w:rsid w:val="00574989"/>
    <w:rsid w:val="0057706B"/>
    <w:rsid w:val="00580DAA"/>
    <w:rsid w:val="00586DFF"/>
    <w:rsid w:val="00586F62"/>
    <w:rsid w:val="005879D3"/>
    <w:rsid w:val="00590BF6"/>
    <w:rsid w:val="0059111D"/>
    <w:rsid w:val="00594DDE"/>
    <w:rsid w:val="005A304F"/>
    <w:rsid w:val="005A5B2E"/>
    <w:rsid w:val="005A7988"/>
    <w:rsid w:val="005B3D39"/>
    <w:rsid w:val="005C1444"/>
    <w:rsid w:val="005C19D4"/>
    <w:rsid w:val="005C4D41"/>
    <w:rsid w:val="005C53AB"/>
    <w:rsid w:val="005D0116"/>
    <w:rsid w:val="005D0A14"/>
    <w:rsid w:val="005D4DD0"/>
    <w:rsid w:val="005E24E3"/>
    <w:rsid w:val="005E3BF1"/>
    <w:rsid w:val="005E42BA"/>
    <w:rsid w:val="005E5D6A"/>
    <w:rsid w:val="005F1B0B"/>
    <w:rsid w:val="005F4D31"/>
    <w:rsid w:val="005F6D8A"/>
    <w:rsid w:val="005F7EE7"/>
    <w:rsid w:val="006114A5"/>
    <w:rsid w:val="00620902"/>
    <w:rsid w:val="00621754"/>
    <w:rsid w:val="0062545A"/>
    <w:rsid w:val="00626CE5"/>
    <w:rsid w:val="00630774"/>
    <w:rsid w:val="00631223"/>
    <w:rsid w:val="00631BCC"/>
    <w:rsid w:val="00632FF0"/>
    <w:rsid w:val="00635962"/>
    <w:rsid w:val="00635D82"/>
    <w:rsid w:val="0064071A"/>
    <w:rsid w:val="00640857"/>
    <w:rsid w:val="006420D0"/>
    <w:rsid w:val="006443FA"/>
    <w:rsid w:val="00644664"/>
    <w:rsid w:val="00644807"/>
    <w:rsid w:val="006448FD"/>
    <w:rsid w:val="006457C5"/>
    <w:rsid w:val="006462E7"/>
    <w:rsid w:val="00647540"/>
    <w:rsid w:val="00650041"/>
    <w:rsid w:val="0065031E"/>
    <w:rsid w:val="00652B88"/>
    <w:rsid w:val="0065314B"/>
    <w:rsid w:val="00654112"/>
    <w:rsid w:val="00661481"/>
    <w:rsid w:val="00663FA5"/>
    <w:rsid w:val="006664F5"/>
    <w:rsid w:val="006666F7"/>
    <w:rsid w:val="00666EEC"/>
    <w:rsid w:val="00670003"/>
    <w:rsid w:val="00670780"/>
    <w:rsid w:val="006715B3"/>
    <w:rsid w:val="006740A7"/>
    <w:rsid w:val="006777C3"/>
    <w:rsid w:val="0069120A"/>
    <w:rsid w:val="00691B06"/>
    <w:rsid w:val="00692E10"/>
    <w:rsid w:val="00694E2F"/>
    <w:rsid w:val="00696359"/>
    <w:rsid w:val="00697FF3"/>
    <w:rsid w:val="006A0C3E"/>
    <w:rsid w:val="006A0E32"/>
    <w:rsid w:val="006A0F9C"/>
    <w:rsid w:val="006A2CB5"/>
    <w:rsid w:val="006A58A3"/>
    <w:rsid w:val="006A71AD"/>
    <w:rsid w:val="006B2E8F"/>
    <w:rsid w:val="006B3867"/>
    <w:rsid w:val="006B3C0C"/>
    <w:rsid w:val="006C1F4B"/>
    <w:rsid w:val="006C234F"/>
    <w:rsid w:val="006C2B0C"/>
    <w:rsid w:val="006C45B7"/>
    <w:rsid w:val="006C47BE"/>
    <w:rsid w:val="006D4051"/>
    <w:rsid w:val="006E06D5"/>
    <w:rsid w:val="006E3EFC"/>
    <w:rsid w:val="006E572E"/>
    <w:rsid w:val="006F3C80"/>
    <w:rsid w:val="00701C28"/>
    <w:rsid w:val="00701E62"/>
    <w:rsid w:val="00702ED1"/>
    <w:rsid w:val="00703733"/>
    <w:rsid w:val="007053A8"/>
    <w:rsid w:val="00705769"/>
    <w:rsid w:val="007058CA"/>
    <w:rsid w:val="00711D0C"/>
    <w:rsid w:val="007126F3"/>
    <w:rsid w:val="007144AA"/>
    <w:rsid w:val="00716EF9"/>
    <w:rsid w:val="00722CDC"/>
    <w:rsid w:val="007234B7"/>
    <w:rsid w:val="00724B56"/>
    <w:rsid w:val="00727885"/>
    <w:rsid w:val="00734289"/>
    <w:rsid w:val="00736316"/>
    <w:rsid w:val="00737E01"/>
    <w:rsid w:val="007400F1"/>
    <w:rsid w:val="007401A4"/>
    <w:rsid w:val="00742964"/>
    <w:rsid w:val="00742988"/>
    <w:rsid w:val="00747215"/>
    <w:rsid w:val="00747CC6"/>
    <w:rsid w:val="00747DDB"/>
    <w:rsid w:val="00756F05"/>
    <w:rsid w:val="00757000"/>
    <w:rsid w:val="007710FE"/>
    <w:rsid w:val="007765B3"/>
    <w:rsid w:val="0077765F"/>
    <w:rsid w:val="00783A86"/>
    <w:rsid w:val="007868F7"/>
    <w:rsid w:val="00790EA3"/>
    <w:rsid w:val="00793034"/>
    <w:rsid w:val="007936B5"/>
    <w:rsid w:val="00795627"/>
    <w:rsid w:val="00795BF3"/>
    <w:rsid w:val="00796BA1"/>
    <w:rsid w:val="007A27DA"/>
    <w:rsid w:val="007A31C2"/>
    <w:rsid w:val="007A357E"/>
    <w:rsid w:val="007A358C"/>
    <w:rsid w:val="007A46C4"/>
    <w:rsid w:val="007A48BD"/>
    <w:rsid w:val="007A4CAF"/>
    <w:rsid w:val="007A770F"/>
    <w:rsid w:val="007B03CA"/>
    <w:rsid w:val="007B1E92"/>
    <w:rsid w:val="007B1ED5"/>
    <w:rsid w:val="007B666F"/>
    <w:rsid w:val="007B6BE9"/>
    <w:rsid w:val="007B7240"/>
    <w:rsid w:val="007B79BB"/>
    <w:rsid w:val="007C1262"/>
    <w:rsid w:val="007C1687"/>
    <w:rsid w:val="007C23B3"/>
    <w:rsid w:val="007C418C"/>
    <w:rsid w:val="007C6216"/>
    <w:rsid w:val="007D1DF8"/>
    <w:rsid w:val="007D2584"/>
    <w:rsid w:val="007D48EB"/>
    <w:rsid w:val="007D4D96"/>
    <w:rsid w:val="007D5B39"/>
    <w:rsid w:val="007D60CE"/>
    <w:rsid w:val="007D7285"/>
    <w:rsid w:val="007D7314"/>
    <w:rsid w:val="007E0CF5"/>
    <w:rsid w:val="007E1968"/>
    <w:rsid w:val="007E367A"/>
    <w:rsid w:val="007E6B18"/>
    <w:rsid w:val="007F0CDB"/>
    <w:rsid w:val="007F18FF"/>
    <w:rsid w:val="007F2D5A"/>
    <w:rsid w:val="007F5133"/>
    <w:rsid w:val="007F5278"/>
    <w:rsid w:val="00802B67"/>
    <w:rsid w:val="00802C94"/>
    <w:rsid w:val="00805E15"/>
    <w:rsid w:val="0081007B"/>
    <w:rsid w:val="008121FB"/>
    <w:rsid w:val="00812A01"/>
    <w:rsid w:val="00814A22"/>
    <w:rsid w:val="00817476"/>
    <w:rsid w:val="00817BD8"/>
    <w:rsid w:val="00820177"/>
    <w:rsid w:val="00820613"/>
    <w:rsid w:val="00822576"/>
    <w:rsid w:val="008279C2"/>
    <w:rsid w:val="008303C1"/>
    <w:rsid w:val="0083095D"/>
    <w:rsid w:val="00831E91"/>
    <w:rsid w:val="0083247F"/>
    <w:rsid w:val="0083376D"/>
    <w:rsid w:val="00837B60"/>
    <w:rsid w:val="00843B2C"/>
    <w:rsid w:val="00845A9E"/>
    <w:rsid w:val="0084741A"/>
    <w:rsid w:val="008506F1"/>
    <w:rsid w:val="008530B8"/>
    <w:rsid w:val="00853ECD"/>
    <w:rsid w:val="0086058B"/>
    <w:rsid w:val="00866095"/>
    <w:rsid w:val="00871C9F"/>
    <w:rsid w:val="008750C6"/>
    <w:rsid w:val="00875911"/>
    <w:rsid w:val="0088024A"/>
    <w:rsid w:val="008833BC"/>
    <w:rsid w:val="008967C1"/>
    <w:rsid w:val="008A40AD"/>
    <w:rsid w:val="008B03BD"/>
    <w:rsid w:val="008B212E"/>
    <w:rsid w:val="008B23E1"/>
    <w:rsid w:val="008C2B4E"/>
    <w:rsid w:val="008C3D1E"/>
    <w:rsid w:val="008D085F"/>
    <w:rsid w:val="008D1FC4"/>
    <w:rsid w:val="008D5660"/>
    <w:rsid w:val="008D75A1"/>
    <w:rsid w:val="008E12E6"/>
    <w:rsid w:val="008E4B76"/>
    <w:rsid w:val="008F7A97"/>
    <w:rsid w:val="008F7FAA"/>
    <w:rsid w:val="00900DF0"/>
    <w:rsid w:val="00900FEE"/>
    <w:rsid w:val="00901209"/>
    <w:rsid w:val="009016CA"/>
    <w:rsid w:val="00901804"/>
    <w:rsid w:val="00901B6C"/>
    <w:rsid w:val="00906275"/>
    <w:rsid w:val="009071F8"/>
    <w:rsid w:val="009074CA"/>
    <w:rsid w:val="00907F22"/>
    <w:rsid w:val="00911ACD"/>
    <w:rsid w:val="00913170"/>
    <w:rsid w:val="00913500"/>
    <w:rsid w:val="00913E22"/>
    <w:rsid w:val="009177B5"/>
    <w:rsid w:val="009178D8"/>
    <w:rsid w:val="00917971"/>
    <w:rsid w:val="00920D2B"/>
    <w:rsid w:val="009262D9"/>
    <w:rsid w:val="009279E4"/>
    <w:rsid w:val="00931790"/>
    <w:rsid w:val="0093272F"/>
    <w:rsid w:val="00932B3C"/>
    <w:rsid w:val="0093347A"/>
    <w:rsid w:val="009402B3"/>
    <w:rsid w:val="00940CD3"/>
    <w:rsid w:val="0094100B"/>
    <w:rsid w:val="009424B6"/>
    <w:rsid w:val="00943722"/>
    <w:rsid w:val="009509CA"/>
    <w:rsid w:val="009523BB"/>
    <w:rsid w:val="00953949"/>
    <w:rsid w:val="00954256"/>
    <w:rsid w:val="009559DE"/>
    <w:rsid w:val="00960C09"/>
    <w:rsid w:val="00961207"/>
    <w:rsid w:val="00963793"/>
    <w:rsid w:val="009645D4"/>
    <w:rsid w:val="00967038"/>
    <w:rsid w:val="00967C4B"/>
    <w:rsid w:val="00971292"/>
    <w:rsid w:val="0097283E"/>
    <w:rsid w:val="00972E63"/>
    <w:rsid w:val="009748E2"/>
    <w:rsid w:val="00975A84"/>
    <w:rsid w:val="00977234"/>
    <w:rsid w:val="00983D0B"/>
    <w:rsid w:val="00985704"/>
    <w:rsid w:val="009868C4"/>
    <w:rsid w:val="0098745E"/>
    <w:rsid w:val="009879B8"/>
    <w:rsid w:val="009945E2"/>
    <w:rsid w:val="00996A79"/>
    <w:rsid w:val="009971D9"/>
    <w:rsid w:val="009A259C"/>
    <w:rsid w:val="009A332B"/>
    <w:rsid w:val="009A4704"/>
    <w:rsid w:val="009A7741"/>
    <w:rsid w:val="009B1BBF"/>
    <w:rsid w:val="009B4394"/>
    <w:rsid w:val="009B492B"/>
    <w:rsid w:val="009B4A66"/>
    <w:rsid w:val="009B5DDC"/>
    <w:rsid w:val="009C23A4"/>
    <w:rsid w:val="009C2943"/>
    <w:rsid w:val="009C2F82"/>
    <w:rsid w:val="009C4604"/>
    <w:rsid w:val="009C6DE0"/>
    <w:rsid w:val="009C71CB"/>
    <w:rsid w:val="009C7BC7"/>
    <w:rsid w:val="009D0781"/>
    <w:rsid w:val="009D0C74"/>
    <w:rsid w:val="009D32FD"/>
    <w:rsid w:val="009D556C"/>
    <w:rsid w:val="009D64AD"/>
    <w:rsid w:val="009F00C4"/>
    <w:rsid w:val="009F0BA6"/>
    <w:rsid w:val="009F129C"/>
    <w:rsid w:val="009F1ABC"/>
    <w:rsid w:val="009F355C"/>
    <w:rsid w:val="009F3E71"/>
    <w:rsid w:val="009F4283"/>
    <w:rsid w:val="009F5F47"/>
    <w:rsid w:val="009F7A0A"/>
    <w:rsid w:val="00A01111"/>
    <w:rsid w:val="00A01145"/>
    <w:rsid w:val="00A01F60"/>
    <w:rsid w:val="00A04AD9"/>
    <w:rsid w:val="00A0525C"/>
    <w:rsid w:val="00A1597B"/>
    <w:rsid w:val="00A16E4F"/>
    <w:rsid w:val="00A16FF2"/>
    <w:rsid w:val="00A1749B"/>
    <w:rsid w:val="00A17684"/>
    <w:rsid w:val="00A17785"/>
    <w:rsid w:val="00A17CDC"/>
    <w:rsid w:val="00A228A3"/>
    <w:rsid w:val="00A22F93"/>
    <w:rsid w:val="00A27030"/>
    <w:rsid w:val="00A30C4F"/>
    <w:rsid w:val="00A33080"/>
    <w:rsid w:val="00A343ED"/>
    <w:rsid w:val="00A34706"/>
    <w:rsid w:val="00A376EB"/>
    <w:rsid w:val="00A41597"/>
    <w:rsid w:val="00A438D1"/>
    <w:rsid w:val="00A43DE1"/>
    <w:rsid w:val="00A47CA1"/>
    <w:rsid w:val="00A50F79"/>
    <w:rsid w:val="00A51DC0"/>
    <w:rsid w:val="00A608A0"/>
    <w:rsid w:val="00A60A53"/>
    <w:rsid w:val="00A61701"/>
    <w:rsid w:val="00A617E1"/>
    <w:rsid w:val="00A61AF4"/>
    <w:rsid w:val="00A632BA"/>
    <w:rsid w:val="00A63776"/>
    <w:rsid w:val="00A63881"/>
    <w:rsid w:val="00A64165"/>
    <w:rsid w:val="00A67CB1"/>
    <w:rsid w:val="00A70A16"/>
    <w:rsid w:val="00A72E5B"/>
    <w:rsid w:val="00A7499E"/>
    <w:rsid w:val="00A750FF"/>
    <w:rsid w:val="00A810C4"/>
    <w:rsid w:val="00A83F4B"/>
    <w:rsid w:val="00A84D58"/>
    <w:rsid w:val="00A854A8"/>
    <w:rsid w:val="00A87DCF"/>
    <w:rsid w:val="00A948FB"/>
    <w:rsid w:val="00AA11D5"/>
    <w:rsid w:val="00AA4C8D"/>
    <w:rsid w:val="00AA798F"/>
    <w:rsid w:val="00AB378A"/>
    <w:rsid w:val="00AB5298"/>
    <w:rsid w:val="00AC0402"/>
    <w:rsid w:val="00AC129D"/>
    <w:rsid w:val="00AC679D"/>
    <w:rsid w:val="00AC6CDC"/>
    <w:rsid w:val="00AC70B9"/>
    <w:rsid w:val="00AC7407"/>
    <w:rsid w:val="00AD4CA2"/>
    <w:rsid w:val="00AD56B1"/>
    <w:rsid w:val="00AD6ED4"/>
    <w:rsid w:val="00AE1098"/>
    <w:rsid w:val="00AE2304"/>
    <w:rsid w:val="00AE2D7B"/>
    <w:rsid w:val="00AE7D75"/>
    <w:rsid w:val="00AF2C81"/>
    <w:rsid w:val="00AF3E85"/>
    <w:rsid w:val="00AF576F"/>
    <w:rsid w:val="00AF611E"/>
    <w:rsid w:val="00B02026"/>
    <w:rsid w:val="00B04015"/>
    <w:rsid w:val="00B10FD0"/>
    <w:rsid w:val="00B11D15"/>
    <w:rsid w:val="00B14288"/>
    <w:rsid w:val="00B16052"/>
    <w:rsid w:val="00B205DE"/>
    <w:rsid w:val="00B20CB2"/>
    <w:rsid w:val="00B219DC"/>
    <w:rsid w:val="00B21BD1"/>
    <w:rsid w:val="00B23947"/>
    <w:rsid w:val="00B253A7"/>
    <w:rsid w:val="00B26316"/>
    <w:rsid w:val="00B32C39"/>
    <w:rsid w:val="00B36263"/>
    <w:rsid w:val="00B40E3E"/>
    <w:rsid w:val="00B41CFE"/>
    <w:rsid w:val="00B44478"/>
    <w:rsid w:val="00B44929"/>
    <w:rsid w:val="00B50EAB"/>
    <w:rsid w:val="00B515DE"/>
    <w:rsid w:val="00B54391"/>
    <w:rsid w:val="00B563C2"/>
    <w:rsid w:val="00B57AEE"/>
    <w:rsid w:val="00B62F13"/>
    <w:rsid w:val="00B64D74"/>
    <w:rsid w:val="00B65FF0"/>
    <w:rsid w:val="00B66303"/>
    <w:rsid w:val="00B70E1C"/>
    <w:rsid w:val="00B74E5C"/>
    <w:rsid w:val="00B764DB"/>
    <w:rsid w:val="00B77C8F"/>
    <w:rsid w:val="00B80624"/>
    <w:rsid w:val="00B8149D"/>
    <w:rsid w:val="00B814C4"/>
    <w:rsid w:val="00B8469B"/>
    <w:rsid w:val="00B9020D"/>
    <w:rsid w:val="00B90899"/>
    <w:rsid w:val="00B91FC0"/>
    <w:rsid w:val="00B92879"/>
    <w:rsid w:val="00B92D8C"/>
    <w:rsid w:val="00B9319A"/>
    <w:rsid w:val="00B94ACE"/>
    <w:rsid w:val="00B97120"/>
    <w:rsid w:val="00BB1930"/>
    <w:rsid w:val="00BB23F4"/>
    <w:rsid w:val="00BB2A31"/>
    <w:rsid w:val="00BB4E04"/>
    <w:rsid w:val="00BB64DA"/>
    <w:rsid w:val="00BB77E5"/>
    <w:rsid w:val="00BC6F06"/>
    <w:rsid w:val="00BC778B"/>
    <w:rsid w:val="00BD07AE"/>
    <w:rsid w:val="00BD29B0"/>
    <w:rsid w:val="00BE122C"/>
    <w:rsid w:val="00BE14D6"/>
    <w:rsid w:val="00BE5D4D"/>
    <w:rsid w:val="00BE65D7"/>
    <w:rsid w:val="00BE7D96"/>
    <w:rsid w:val="00BF31DF"/>
    <w:rsid w:val="00C01DF0"/>
    <w:rsid w:val="00C0381E"/>
    <w:rsid w:val="00C058D5"/>
    <w:rsid w:val="00C07109"/>
    <w:rsid w:val="00C0737A"/>
    <w:rsid w:val="00C109F4"/>
    <w:rsid w:val="00C1197C"/>
    <w:rsid w:val="00C125C0"/>
    <w:rsid w:val="00C130EF"/>
    <w:rsid w:val="00C1455D"/>
    <w:rsid w:val="00C14BC0"/>
    <w:rsid w:val="00C15BDF"/>
    <w:rsid w:val="00C16DFA"/>
    <w:rsid w:val="00C17A5B"/>
    <w:rsid w:val="00C2341B"/>
    <w:rsid w:val="00C246B9"/>
    <w:rsid w:val="00C24FAF"/>
    <w:rsid w:val="00C27459"/>
    <w:rsid w:val="00C32212"/>
    <w:rsid w:val="00C37794"/>
    <w:rsid w:val="00C430AB"/>
    <w:rsid w:val="00C443EF"/>
    <w:rsid w:val="00C4455D"/>
    <w:rsid w:val="00C45888"/>
    <w:rsid w:val="00C46FE1"/>
    <w:rsid w:val="00C4785F"/>
    <w:rsid w:val="00C50C21"/>
    <w:rsid w:val="00C56B68"/>
    <w:rsid w:val="00C61237"/>
    <w:rsid w:val="00C646BC"/>
    <w:rsid w:val="00C64E76"/>
    <w:rsid w:val="00C706C7"/>
    <w:rsid w:val="00C72E85"/>
    <w:rsid w:val="00C816C3"/>
    <w:rsid w:val="00C859E3"/>
    <w:rsid w:val="00C870E0"/>
    <w:rsid w:val="00C92C18"/>
    <w:rsid w:val="00C93D33"/>
    <w:rsid w:val="00C96599"/>
    <w:rsid w:val="00CA0F4A"/>
    <w:rsid w:val="00CA1255"/>
    <w:rsid w:val="00CA3983"/>
    <w:rsid w:val="00CA5F6F"/>
    <w:rsid w:val="00CA5FB5"/>
    <w:rsid w:val="00CB2324"/>
    <w:rsid w:val="00CB387C"/>
    <w:rsid w:val="00CB3D2E"/>
    <w:rsid w:val="00CB72D5"/>
    <w:rsid w:val="00CC4848"/>
    <w:rsid w:val="00CC5516"/>
    <w:rsid w:val="00CC7298"/>
    <w:rsid w:val="00CD3091"/>
    <w:rsid w:val="00CD4276"/>
    <w:rsid w:val="00CD79D6"/>
    <w:rsid w:val="00CE1812"/>
    <w:rsid w:val="00CE4FDE"/>
    <w:rsid w:val="00CE5D45"/>
    <w:rsid w:val="00CE6C8C"/>
    <w:rsid w:val="00CF3C0F"/>
    <w:rsid w:val="00CF4D14"/>
    <w:rsid w:val="00D02D7F"/>
    <w:rsid w:val="00D036AF"/>
    <w:rsid w:val="00D120C9"/>
    <w:rsid w:val="00D15BB0"/>
    <w:rsid w:val="00D161FE"/>
    <w:rsid w:val="00D16650"/>
    <w:rsid w:val="00D1677B"/>
    <w:rsid w:val="00D16C8C"/>
    <w:rsid w:val="00D1777A"/>
    <w:rsid w:val="00D17E49"/>
    <w:rsid w:val="00D21028"/>
    <w:rsid w:val="00D211F6"/>
    <w:rsid w:val="00D2542F"/>
    <w:rsid w:val="00D262DB"/>
    <w:rsid w:val="00D31502"/>
    <w:rsid w:val="00D33880"/>
    <w:rsid w:val="00D364CF"/>
    <w:rsid w:val="00D41164"/>
    <w:rsid w:val="00D414D6"/>
    <w:rsid w:val="00D41DC5"/>
    <w:rsid w:val="00D43E77"/>
    <w:rsid w:val="00D455B4"/>
    <w:rsid w:val="00D47A6A"/>
    <w:rsid w:val="00D53DA8"/>
    <w:rsid w:val="00D55E01"/>
    <w:rsid w:val="00D57086"/>
    <w:rsid w:val="00D6408B"/>
    <w:rsid w:val="00D67F97"/>
    <w:rsid w:val="00D7135A"/>
    <w:rsid w:val="00D721A3"/>
    <w:rsid w:val="00D7317D"/>
    <w:rsid w:val="00D751DC"/>
    <w:rsid w:val="00D77368"/>
    <w:rsid w:val="00D77A49"/>
    <w:rsid w:val="00D81C6A"/>
    <w:rsid w:val="00D81E61"/>
    <w:rsid w:val="00D83C68"/>
    <w:rsid w:val="00D863F2"/>
    <w:rsid w:val="00D91ABB"/>
    <w:rsid w:val="00D94CC1"/>
    <w:rsid w:val="00D950BB"/>
    <w:rsid w:val="00D96ABC"/>
    <w:rsid w:val="00D979CA"/>
    <w:rsid w:val="00DA60CB"/>
    <w:rsid w:val="00DB0099"/>
    <w:rsid w:val="00DB71D6"/>
    <w:rsid w:val="00DB779E"/>
    <w:rsid w:val="00DC2F9A"/>
    <w:rsid w:val="00DC3FDB"/>
    <w:rsid w:val="00DC6F37"/>
    <w:rsid w:val="00DD0BF4"/>
    <w:rsid w:val="00DD0F1F"/>
    <w:rsid w:val="00DD2680"/>
    <w:rsid w:val="00DD3578"/>
    <w:rsid w:val="00DD6424"/>
    <w:rsid w:val="00DD7CBF"/>
    <w:rsid w:val="00DE62E8"/>
    <w:rsid w:val="00DF659A"/>
    <w:rsid w:val="00DF71EA"/>
    <w:rsid w:val="00DF7820"/>
    <w:rsid w:val="00E0088E"/>
    <w:rsid w:val="00E00D16"/>
    <w:rsid w:val="00E00E2D"/>
    <w:rsid w:val="00E03233"/>
    <w:rsid w:val="00E033CE"/>
    <w:rsid w:val="00E05A65"/>
    <w:rsid w:val="00E11226"/>
    <w:rsid w:val="00E14DF3"/>
    <w:rsid w:val="00E15128"/>
    <w:rsid w:val="00E15B02"/>
    <w:rsid w:val="00E163E7"/>
    <w:rsid w:val="00E20EEA"/>
    <w:rsid w:val="00E20EFA"/>
    <w:rsid w:val="00E21A89"/>
    <w:rsid w:val="00E21C75"/>
    <w:rsid w:val="00E23F4D"/>
    <w:rsid w:val="00E23FC2"/>
    <w:rsid w:val="00E34FA4"/>
    <w:rsid w:val="00E3531E"/>
    <w:rsid w:val="00E3563A"/>
    <w:rsid w:val="00E42211"/>
    <w:rsid w:val="00E43180"/>
    <w:rsid w:val="00E43DB1"/>
    <w:rsid w:val="00E44133"/>
    <w:rsid w:val="00E44474"/>
    <w:rsid w:val="00E47057"/>
    <w:rsid w:val="00E5146B"/>
    <w:rsid w:val="00E53CAC"/>
    <w:rsid w:val="00E56888"/>
    <w:rsid w:val="00E6125D"/>
    <w:rsid w:val="00E6211C"/>
    <w:rsid w:val="00E62ECE"/>
    <w:rsid w:val="00E64A6B"/>
    <w:rsid w:val="00E64C51"/>
    <w:rsid w:val="00E65DB7"/>
    <w:rsid w:val="00E66353"/>
    <w:rsid w:val="00E666DC"/>
    <w:rsid w:val="00E70B3C"/>
    <w:rsid w:val="00E719C2"/>
    <w:rsid w:val="00E71D1A"/>
    <w:rsid w:val="00E72A06"/>
    <w:rsid w:val="00E734AE"/>
    <w:rsid w:val="00E739AA"/>
    <w:rsid w:val="00E74E4C"/>
    <w:rsid w:val="00E777EA"/>
    <w:rsid w:val="00E810D9"/>
    <w:rsid w:val="00E81E70"/>
    <w:rsid w:val="00E83C1D"/>
    <w:rsid w:val="00E84ECE"/>
    <w:rsid w:val="00E855E2"/>
    <w:rsid w:val="00EA06DF"/>
    <w:rsid w:val="00EA39AB"/>
    <w:rsid w:val="00EA4C04"/>
    <w:rsid w:val="00EA589C"/>
    <w:rsid w:val="00EA7DE6"/>
    <w:rsid w:val="00EB04E1"/>
    <w:rsid w:val="00EB21F7"/>
    <w:rsid w:val="00EB2CCD"/>
    <w:rsid w:val="00EB5C9B"/>
    <w:rsid w:val="00EC255F"/>
    <w:rsid w:val="00EC5048"/>
    <w:rsid w:val="00EC701E"/>
    <w:rsid w:val="00ED0D55"/>
    <w:rsid w:val="00ED2574"/>
    <w:rsid w:val="00ED26C7"/>
    <w:rsid w:val="00ED2D64"/>
    <w:rsid w:val="00ED2F93"/>
    <w:rsid w:val="00ED412A"/>
    <w:rsid w:val="00ED6CFF"/>
    <w:rsid w:val="00EE242B"/>
    <w:rsid w:val="00EE3CB2"/>
    <w:rsid w:val="00EE3D5A"/>
    <w:rsid w:val="00EE4232"/>
    <w:rsid w:val="00EE46B5"/>
    <w:rsid w:val="00EE68B0"/>
    <w:rsid w:val="00EF0BC7"/>
    <w:rsid w:val="00EF17EF"/>
    <w:rsid w:val="00EF3A78"/>
    <w:rsid w:val="00EF4F08"/>
    <w:rsid w:val="00EF5FC1"/>
    <w:rsid w:val="00EF61E1"/>
    <w:rsid w:val="00EF74F4"/>
    <w:rsid w:val="00F01E23"/>
    <w:rsid w:val="00F02005"/>
    <w:rsid w:val="00F02357"/>
    <w:rsid w:val="00F025B6"/>
    <w:rsid w:val="00F02F8D"/>
    <w:rsid w:val="00F03D45"/>
    <w:rsid w:val="00F07066"/>
    <w:rsid w:val="00F128FA"/>
    <w:rsid w:val="00F12DD3"/>
    <w:rsid w:val="00F134C6"/>
    <w:rsid w:val="00F16C9E"/>
    <w:rsid w:val="00F1772D"/>
    <w:rsid w:val="00F200AF"/>
    <w:rsid w:val="00F21086"/>
    <w:rsid w:val="00F2152A"/>
    <w:rsid w:val="00F224A1"/>
    <w:rsid w:val="00F2326A"/>
    <w:rsid w:val="00F243E6"/>
    <w:rsid w:val="00F24E6E"/>
    <w:rsid w:val="00F37403"/>
    <w:rsid w:val="00F449E8"/>
    <w:rsid w:val="00F5040F"/>
    <w:rsid w:val="00F55BB2"/>
    <w:rsid w:val="00F6066B"/>
    <w:rsid w:val="00F60E55"/>
    <w:rsid w:val="00F612DB"/>
    <w:rsid w:val="00F61338"/>
    <w:rsid w:val="00F6169B"/>
    <w:rsid w:val="00F620C2"/>
    <w:rsid w:val="00F622C7"/>
    <w:rsid w:val="00F70472"/>
    <w:rsid w:val="00F720E1"/>
    <w:rsid w:val="00F74744"/>
    <w:rsid w:val="00F7561A"/>
    <w:rsid w:val="00F75C28"/>
    <w:rsid w:val="00F76445"/>
    <w:rsid w:val="00F800BF"/>
    <w:rsid w:val="00F80177"/>
    <w:rsid w:val="00F81A18"/>
    <w:rsid w:val="00F8264D"/>
    <w:rsid w:val="00F86DA7"/>
    <w:rsid w:val="00F903D6"/>
    <w:rsid w:val="00F92A4A"/>
    <w:rsid w:val="00FA0CAC"/>
    <w:rsid w:val="00FA6B0B"/>
    <w:rsid w:val="00FA7939"/>
    <w:rsid w:val="00FB1E3D"/>
    <w:rsid w:val="00FB20E8"/>
    <w:rsid w:val="00FB2F10"/>
    <w:rsid w:val="00FB3174"/>
    <w:rsid w:val="00FC31EB"/>
    <w:rsid w:val="00FD18AB"/>
    <w:rsid w:val="00FD1932"/>
    <w:rsid w:val="00FD1F51"/>
    <w:rsid w:val="00FD33E8"/>
    <w:rsid w:val="00FD49C3"/>
    <w:rsid w:val="00FD4F53"/>
    <w:rsid w:val="00FF2530"/>
    <w:rsid w:val="00FF2AE6"/>
    <w:rsid w:val="00FF34C7"/>
    <w:rsid w:val="00FF445C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1D6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9"/>
    <w:qFormat/>
    <w:rsid w:val="003B56BC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3B56BC"/>
    <w:rPr>
      <w:rFonts w:ascii="新細明體" w:eastAsia="新細明體" w:hAnsi="新細明體" w:cs="新細明體"/>
      <w:b/>
      <w:bCs/>
      <w:kern w:val="36"/>
      <w:sz w:val="48"/>
      <w:szCs w:val="48"/>
      <w:lang w:bidi="hi-IN"/>
    </w:rPr>
  </w:style>
  <w:style w:type="character" w:customStyle="1" w:styleId="a3">
    <w:name w:val="週間接獲則數"/>
    <w:basedOn w:val="a0"/>
    <w:uiPriority w:val="99"/>
    <w:rsid w:val="00EA06DF"/>
    <w:rPr>
      <w:rFonts w:cs="Times New Roman"/>
      <w:b/>
      <w:color w:val="7030A0"/>
      <w:sz w:val="28"/>
    </w:rPr>
  </w:style>
  <w:style w:type="paragraph" w:styleId="a4">
    <w:name w:val="header"/>
    <w:basedOn w:val="a"/>
    <w:link w:val="a5"/>
    <w:uiPriority w:val="99"/>
    <w:rsid w:val="003B5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3B56BC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3B5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3B56BC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D48E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Default">
    <w:name w:val="Default"/>
    <w:uiPriority w:val="99"/>
    <w:rsid w:val="007D48EB"/>
    <w:pPr>
      <w:widowControl w:val="0"/>
      <w:autoSpaceDE w:val="0"/>
      <w:autoSpaceDN w:val="0"/>
      <w:adjustRightInd w:val="0"/>
    </w:pPr>
    <w:rPr>
      <w:rFonts w:ascii="新細明體" w:hAnsi="Times New Roman" w:cs="新細明體"/>
      <w:color w:val="000000"/>
      <w:sz w:val="24"/>
      <w:szCs w:val="24"/>
    </w:rPr>
  </w:style>
  <w:style w:type="paragraph" w:customStyle="1" w:styleId="a8">
    <w:name w:val=".."/>
    <w:basedOn w:val="a"/>
    <w:next w:val="a"/>
    <w:uiPriority w:val="99"/>
    <w:rsid w:val="007D48EB"/>
    <w:pPr>
      <w:autoSpaceDE w:val="0"/>
      <w:autoSpaceDN w:val="0"/>
      <w:adjustRightInd w:val="0"/>
    </w:pPr>
    <w:rPr>
      <w:rFonts w:ascii="標楷體" w:eastAsia="標楷體"/>
      <w:kern w:val="0"/>
      <w:szCs w:val="24"/>
    </w:rPr>
  </w:style>
  <w:style w:type="paragraph" w:styleId="a9">
    <w:name w:val="List Paragraph"/>
    <w:basedOn w:val="a"/>
    <w:uiPriority w:val="99"/>
    <w:qFormat/>
    <w:rsid w:val="00A64165"/>
    <w:pPr>
      <w:ind w:leftChars="200" w:left="480"/>
    </w:pPr>
  </w:style>
  <w:style w:type="character" w:styleId="aa">
    <w:name w:val="Emphasis"/>
    <w:basedOn w:val="a0"/>
    <w:uiPriority w:val="99"/>
    <w:qFormat/>
    <w:rsid w:val="006F3C80"/>
    <w:rPr>
      <w:rFonts w:cs="Times New Roman"/>
      <w:color w:val="DD4B39"/>
    </w:rPr>
  </w:style>
  <w:style w:type="character" w:styleId="ab">
    <w:name w:val="Hyperlink"/>
    <w:basedOn w:val="a0"/>
    <w:uiPriority w:val="99"/>
    <w:rsid w:val="001365D2"/>
    <w:rPr>
      <w:rFonts w:cs="Times New Roman"/>
      <w:color w:val="0000FF"/>
      <w:u w:val="single"/>
    </w:rPr>
  </w:style>
  <w:style w:type="character" w:styleId="ac">
    <w:name w:val="Strong"/>
    <w:basedOn w:val="a0"/>
    <w:uiPriority w:val="99"/>
    <w:qFormat/>
    <w:rsid w:val="00F01E23"/>
    <w:rPr>
      <w:rFonts w:cs="Times New Roman"/>
      <w:b/>
      <w:bCs/>
    </w:rPr>
  </w:style>
  <w:style w:type="character" w:customStyle="1" w:styleId="st1">
    <w:name w:val="st1"/>
    <w:basedOn w:val="a0"/>
    <w:uiPriority w:val="99"/>
    <w:rsid w:val="00F01E23"/>
    <w:rPr>
      <w:rFonts w:cs="Times New Roman"/>
    </w:rPr>
  </w:style>
  <w:style w:type="character" w:customStyle="1" w:styleId="apple-converted-space">
    <w:name w:val="apple-converted-space"/>
    <w:basedOn w:val="a0"/>
    <w:rsid w:val="00544659"/>
  </w:style>
  <w:style w:type="paragraph" w:styleId="ad">
    <w:name w:val="annotation text"/>
    <w:basedOn w:val="a"/>
    <w:link w:val="ae"/>
    <w:uiPriority w:val="99"/>
    <w:semiHidden/>
    <w:unhideWhenUsed/>
    <w:rsid w:val="00270E2E"/>
  </w:style>
  <w:style w:type="character" w:customStyle="1" w:styleId="ae">
    <w:name w:val="註解文字 字元"/>
    <w:basedOn w:val="a0"/>
    <w:link w:val="ad"/>
    <w:uiPriority w:val="99"/>
    <w:semiHidden/>
    <w:rsid w:val="00270E2E"/>
    <w:rPr>
      <w:kern w:val="2"/>
      <w:sz w:val="24"/>
      <w:szCs w:val="22"/>
    </w:rPr>
  </w:style>
  <w:style w:type="paragraph" w:styleId="af">
    <w:name w:val="annotation subject"/>
    <w:basedOn w:val="ad"/>
    <w:next w:val="ad"/>
    <w:link w:val="af0"/>
    <w:rsid w:val="00270E2E"/>
    <w:rPr>
      <w:rFonts w:ascii="Times New Roman" w:hAnsi="Times New Roman"/>
      <w:b/>
      <w:bCs/>
      <w:szCs w:val="24"/>
    </w:rPr>
  </w:style>
  <w:style w:type="character" w:customStyle="1" w:styleId="af0">
    <w:name w:val="註解主旨 字元"/>
    <w:basedOn w:val="ae"/>
    <w:link w:val="af"/>
    <w:rsid w:val="00270E2E"/>
    <w:rPr>
      <w:rFonts w:ascii="Times New Roman" w:hAnsi="Times New Roman"/>
      <w:b/>
      <w:bCs/>
      <w:kern w:val="2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1E1874"/>
    <w:rPr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1E18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1E187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4">
    <w:name w:val="FollowedHyperlink"/>
    <w:basedOn w:val="a0"/>
    <w:uiPriority w:val="99"/>
    <w:semiHidden/>
    <w:unhideWhenUsed/>
    <w:rsid w:val="009868C4"/>
    <w:rPr>
      <w:color w:val="800080" w:themeColor="followedHyperlink"/>
      <w:u w:val="single"/>
    </w:rPr>
  </w:style>
  <w:style w:type="table" w:styleId="af5">
    <w:name w:val="Table Grid"/>
    <w:basedOn w:val="a1"/>
    <w:locked/>
    <w:rsid w:val="000D7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Document Map"/>
    <w:basedOn w:val="a"/>
    <w:link w:val="af7"/>
    <w:uiPriority w:val="99"/>
    <w:semiHidden/>
    <w:unhideWhenUsed/>
    <w:rsid w:val="008D1FC4"/>
    <w:rPr>
      <w:rFonts w:ascii="新細明體"/>
      <w:sz w:val="18"/>
      <w:szCs w:val="18"/>
    </w:rPr>
  </w:style>
  <w:style w:type="character" w:customStyle="1" w:styleId="af7">
    <w:name w:val="文件引導模式 字元"/>
    <w:basedOn w:val="a0"/>
    <w:link w:val="af6"/>
    <w:uiPriority w:val="99"/>
    <w:semiHidden/>
    <w:rsid w:val="008D1FC4"/>
    <w:rPr>
      <w:rFonts w:ascii="新細明體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1D6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9"/>
    <w:qFormat/>
    <w:rsid w:val="003B56BC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3B56BC"/>
    <w:rPr>
      <w:rFonts w:ascii="新細明體" w:eastAsia="新細明體" w:hAnsi="新細明體" w:cs="新細明體"/>
      <w:b/>
      <w:bCs/>
      <w:kern w:val="36"/>
      <w:sz w:val="48"/>
      <w:szCs w:val="48"/>
      <w:lang w:bidi="hi-IN"/>
    </w:rPr>
  </w:style>
  <w:style w:type="character" w:customStyle="1" w:styleId="a3">
    <w:name w:val="週間接獲則數"/>
    <w:basedOn w:val="a0"/>
    <w:uiPriority w:val="99"/>
    <w:rsid w:val="00EA06DF"/>
    <w:rPr>
      <w:rFonts w:cs="Times New Roman"/>
      <w:b/>
      <w:color w:val="7030A0"/>
      <w:sz w:val="28"/>
    </w:rPr>
  </w:style>
  <w:style w:type="paragraph" w:styleId="a4">
    <w:name w:val="header"/>
    <w:basedOn w:val="a"/>
    <w:link w:val="a5"/>
    <w:uiPriority w:val="99"/>
    <w:rsid w:val="003B5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3B56BC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3B5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3B56BC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D48E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Default">
    <w:name w:val="Default"/>
    <w:uiPriority w:val="99"/>
    <w:rsid w:val="007D48EB"/>
    <w:pPr>
      <w:widowControl w:val="0"/>
      <w:autoSpaceDE w:val="0"/>
      <w:autoSpaceDN w:val="0"/>
      <w:adjustRightInd w:val="0"/>
    </w:pPr>
    <w:rPr>
      <w:rFonts w:ascii="新細明體" w:hAnsi="Times New Roman" w:cs="新細明體"/>
      <w:color w:val="000000"/>
      <w:sz w:val="24"/>
      <w:szCs w:val="24"/>
    </w:rPr>
  </w:style>
  <w:style w:type="paragraph" w:customStyle="1" w:styleId="a8">
    <w:name w:val=".."/>
    <w:basedOn w:val="a"/>
    <w:next w:val="a"/>
    <w:uiPriority w:val="99"/>
    <w:rsid w:val="007D48EB"/>
    <w:pPr>
      <w:autoSpaceDE w:val="0"/>
      <w:autoSpaceDN w:val="0"/>
      <w:adjustRightInd w:val="0"/>
    </w:pPr>
    <w:rPr>
      <w:rFonts w:ascii="標楷體" w:eastAsia="標楷體"/>
      <w:kern w:val="0"/>
      <w:szCs w:val="24"/>
    </w:rPr>
  </w:style>
  <w:style w:type="paragraph" w:styleId="a9">
    <w:name w:val="List Paragraph"/>
    <w:basedOn w:val="a"/>
    <w:uiPriority w:val="99"/>
    <w:qFormat/>
    <w:rsid w:val="00A64165"/>
    <w:pPr>
      <w:ind w:leftChars="200" w:left="480"/>
    </w:pPr>
  </w:style>
  <w:style w:type="character" w:styleId="aa">
    <w:name w:val="Emphasis"/>
    <w:basedOn w:val="a0"/>
    <w:uiPriority w:val="99"/>
    <w:qFormat/>
    <w:rsid w:val="006F3C80"/>
    <w:rPr>
      <w:rFonts w:cs="Times New Roman"/>
      <w:color w:val="DD4B39"/>
    </w:rPr>
  </w:style>
  <w:style w:type="character" w:styleId="ab">
    <w:name w:val="Hyperlink"/>
    <w:basedOn w:val="a0"/>
    <w:uiPriority w:val="99"/>
    <w:rsid w:val="001365D2"/>
    <w:rPr>
      <w:rFonts w:cs="Times New Roman"/>
      <w:color w:val="0000FF"/>
      <w:u w:val="single"/>
    </w:rPr>
  </w:style>
  <w:style w:type="character" w:styleId="ac">
    <w:name w:val="Strong"/>
    <w:basedOn w:val="a0"/>
    <w:uiPriority w:val="99"/>
    <w:qFormat/>
    <w:rsid w:val="00F01E23"/>
    <w:rPr>
      <w:rFonts w:cs="Times New Roman"/>
      <w:b/>
      <w:bCs/>
    </w:rPr>
  </w:style>
  <w:style w:type="character" w:customStyle="1" w:styleId="st1">
    <w:name w:val="st1"/>
    <w:basedOn w:val="a0"/>
    <w:uiPriority w:val="99"/>
    <w:rsid w:val="00F01E23"/>
    <w:rPr>
      <w:rFonts w:cs="Times New Roman"/>
    </w:rPr>
  </w:style>
  <w:style w:type="character" w:customStyle="1" w:styleId="apple-converted-space">
    <w:name w:val="apple-converted-space"/>
    <w:basedOn w:val="a0"/>
    <w:rsid w:val="00544659"/>
  </w:style>
  <w:style w:type="paragraph" w:styleId="ad">
    <w:name w:val="annotation text"/>
    <w:basedOn w:val="a"/>
    <w:link w:val="ae"/>
    <w:uiPriority w:val="99"/>
    <w:semiHidden/>
    <w:unhideWhenUsed/>
    <w:rsid w:val="00270E2E"/>
  </w:style>
  <w:style w:type="character" w:customStyle="1" w:styleId="ae">
    <w:name w:val="註解文字 字元"/>
    <w:basedOn w:val="a0"/>
    <w:link w:val="ad"/>
    <w:uiPriority w:val="99"/>
    <w:semiHidden/>
    <w:rsid w:val="00270E2E"/>
    <w:rPr>
      <w:kern w:val="2"/>
      <w:sz w:val="24"/>
      <w:szCs w:val="22"/>
    </w:rPr>
  </w:style>
  <w:style w:type="paragraph" w:styleId="af">
    <w:name w:val="annotation subject"/>
    <w:basedOn w:val="ad"/>
    <w:next w:val="ad"/>
    <w:link w:val="af0"/>
    <w:rsid w:val="00270E2E"/>
    <w:rPr>
      <w:rFonts w:ascii="Times New Roman" w:hAnsi="Times New Roman"/>
      <w:b/>
      <w:bCs/>
      <w:szCs w:val="24"/>
    </w:rPr>
  </w:style>
  <w:style w:type="character" w:customStyle="1" w:styleId="af0">
    <w:name w:val="註解主旨 字元"/>
    <w:basedOn w:val="ae"/>
    <w:link w:val="af"/>
    <w:rsid w:val="00270E2E"/>
    <w:rPr>
      <w:rFonts w:ascii="Times New Roman" w:hAnsi="Times New Roman"/>
      <w:b/>
      <w:bCs/>
      <w:kern w:val="2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1E1874"/>
    <w:rPr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1E18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1E187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4">
    <w:name w:val="FollowedHyperlink"/>
    <w:basedOn w:val="a0"/>
    <w:uiPriority w:val="99"/>
    <w:semiHidden/>
    <w:unhideWhenUsed/>
    <w:rsid w:val="009868C4"/>
    <w:rPr>
      <w:color w:val="800080" w:themeColor="followedHyperlink"/>
      <w:u w:val="single"/>
    </w:rPr>
  </w:style>
  <w:style w:type="table" w:styleId="af5">
    <w:name w:val="Table Grid"/>
    <w:basedOn w:val="a1"/>
    <w:locked/>
    <w:rsid w:val="000D7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Document Map"/>
    <w:basedOn w:val="a"/>
    <w:link w:val="af7"/>
    <w:uiPriority w:val="99"/>
    <w:semiHidden/>
    <w:unhideWhenUsed/>
    <w:rsid w:val="008D1FC4"/>
    <w:rPr>
      <w:rFonts w:ascii="新細明體"/>
      <w:sz w:val="18"/>
      <w:szCs w:val="18"/>
    </w:rPr>
  </w:style>
  <w:style w:type="character" w:customStyle="1" w:styleId="af7">
    <w:name w:val="文件引導模式 字元"/>
    <w:basedOn w:val="a0"/>
    <w:link w:val="af6"/>
    <w:uiPriority w:val="99"/>
    <w:semiHidden/>
    <w:rsid w:val="008D1FC4"/>
    <w:rPr>
      <w:rFonts w:ascii="新細明體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755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6345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36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3618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0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82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95428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35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96299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7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613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55465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1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17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6341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fda.gov/Safety/MedWatch/SafetyInformation/SafetyAlertsforHumanMedicalProducts/ucm533195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da.gov.tw/MLMS/H0001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SER\Desktop\&#34277;&#21697;&#23433;&#20840;&#36039;&#35338;&#39080;&#38570;&#28317;&#36890;&#34920;final&#29256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D1850-AFE3-4A67-996E-F0FBCF19A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藥品安全資訊風險溝通表final版</Template>
  <TotalTime>121</TotalTime>
  <Pages>3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Magnesium Sulfate藥品安全資訊彙整表</dc:title>
  <dc:creator>USER</dc:creator>
  <cp:lastModifiedBy>張婷雅</cp:lastModifiedBy>
  <cp:revision>3</cp:revision>
  <cp:lastPrinted>2017-01-09T08:18:00Z</cp:lastPrinted>
  <dcterms:created xsi:type="dcterms:W3CDTF">2017-01-06T07:46:00Z</dcterms:created>
  <dcterms:modified xsi:type="dcterms:W3CDTF">2017-01-09T10:16:00Z</dcterms:modified>
</cp:coreProperties>
</file>